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152C4B">
      <w:pPr>
        <w:rPr>
          <w:noProof/>
        </w:rPr>
      </w:pPr>
      <w:r>
        <w:rPr>
          <w:noProof/>
        </w:rPr>
        <w:drawing>
          <wp:anchor distT="0" distB="0" distL="114300" distR="114300" simplePos="0" relativeHeight="251659264" behindDoc="0" locked="0" layoutInCell="1" allowOverlap="1" wp14:anchorId="39CCB67A" wp14:editId="7D81390A">
            <wp:simplePos x="0" y="0"/>
            <wp:positionH relativeFrom="column">
              <wp:posOffset>1533525</wp:posOffset>
            </wp:positionH>
            <wp:positionV relativeFrom="paragraph">
              <wp:posOffset>-334645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152C4B" w:rsidRDefault="00152C4B" w:rsidP="00152C4B">
      <w:pPr>
        <w:jc w:val="center"/>
        <w:rPr>
          <w:b/>
          <w:noProof/>
          <w:sz w:val="28"/>
          <w:szCs w:val="28"/>
        </w:rPr>
      </w:pPr>
      <w:r w:rsidRPr="00403D5D">
        <w:rPr>
          <w:b/>
          <w:noProof/>
          <w:sz w:val="28"/>
          <w:szCs w:val="28"/>
        </w:rPr>
        <w:t>Zadávací dokumentace k</w:t>
      </w:r>
      <w:r>
        <w:rPr>
          <w:b/>
          <w:noProof/>
          <w:sz w:val="28"/>
          <w:szCs w:val="28"/>
        </w:rPr>
        <w:t> </w:t>
      </w:r>
      <w:r w:rsidRPr="00403D5D">
        <w:rPr>
          <w:b/>
          <w:noProof/>
          <w:sz w:val="28"/>
          <w:szCs w:val="28"/>
        </w:rPr>
        <w:t>zakázce</w:t>
      </w:r>
    </w:p>
    <w:p w:rsidR="00152C4B" w:rsidRDefault="00152C4B" w:rsidP="00152C4B">
      <w:pPr>
        <w:jc w:val="center"/>
        <w:rPr>
          <w:b/>
          <w:noProof/>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986"/>
      </w:tblGrid>
      <w:tr w:rsidR="00152C4B" w:rsidRPr="00FD4B33"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Číslo řízení</w:t>
            </w:r>
          </w:p>
        </w:tc>
        <w:tc>
          <w:tcPr>
            <w:tcW w:w="5986" w:type="dxa"/>
            <w:shd w:val="clear" w:color="auto" w:fill="auto"/>
            <w:vAlign w:val="center"/>
          </w:tcPr>
          <w:p w:rsidR="00152C4B" w:rsidRPr="00B301D1" w:rsidRDefault="00152C4B" w:rsidP="003838BA">
            <w:pPr>
              <w:pStyle w:val="Hlavnnadpis"/>
              <w:jc w:val="left"/>
              <w:rPr>
                <w:sz w:val="20"/>
              </w:rPr>
            </w:pPr>
            <w:r>
              <w:rPr>
                <w:sz w:val="20"/>
              </w:rPr>
              <w:t>0</w:t>
            </w:r>
            <w:r w:rsidR="003838BA">
              <w:rPr>
                <w:sz w:val="20"/>
              </w:rPr>
              <w:t>1</w:t>
            </w:r>
            <w:r>
              <w:rPr>
                <w:sz w:val="20"/>
              </w:rPr>
              <w:t>5</w:t>
            </w:r>
            <w:r w:rsidRPr="00B301D1">
              <w:rPr>
                <w:sz w:val="20"/>
              </w:rPr>
              <w:t>/1</w:t>
            </w:r>
            <w:r>
              <w:rPr>
                <w:sz w:val="20"/>
              </w:rPr>
              <w:t>6</w:t>
            </w:r>
            <w:r w:rsidRPr="00B301D1">
              <w:rPr>
                <w:sz w:val="20"/>
              </w:rPr>
              <w:t>/OCN</w:t>
            </w:r>
          </w:p>
        </w:tc>
      </w:tr>
      <w:tr w:rsidR="00152C4B" w:rsidRPr="00FD4B33"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Název zakázky</w:t>
            </w:r>
          </w:p>
        </w:tc>
        <w:tc>
          <w:tcPr>
            <w:tcW w:w="5986" w:type="dxa"/>
            <w:shd w:val="clear" w:color="auto" w:fill="auto"/>
            <w:vAlign w:val="center"/>
          </w:tcPr>
          <w:p w:rsidR="00152C4B" w:rsidRPr="000769D6" w:rsidRDefault="00DB3A28" w:rsidP="009D56C7">
            <w:pPr>
              <w:pStyle w:val="Hlavnnadpis"/>
              <w:jc w:val="left"/>
              <w:rPr>
                <w:b w:val="0"/>
                <w:sz w:val="24"/>
                <w:szCs w:val="24"/>
              </w:rPr>
            </w:pPr>
            <w:r w:rsidRPr="00DB3A28">
              <w:rPr>
                <w:b w:val="0"/>
                <w:sz w:val="20"/>
              </w:rPr>
              <w:t xml:space="preserve">Vlajky pro ČS </w:t>
            </w:r>
            <w:proofErr w:type="spellStart"/>
            <w:r w:rsidRPr="00DB3A28">
              <w:rPr>
                <w:b w:val="0"/>
                <w:sz w:val="20"/>
              </w:rPr>
              <w:t>EuroOil</w:t>
            </w:r>
            <w:proofErr w:type="spellEnd"/>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Předmět zakázky (služby, dodávka nebo stavební práce)</w:t>
            </w:r>
          </w:p>
        </w:tc>
        <w:tc>
          <w:tcPr>
            <w:tcW w:w="5986" w:type="dxa"/>
            <w:shd w:val="clear" w:color="auto" w:fill="auto"/>
            <w:vAlign w:val="center"/>
          </w:tcPr>
          <w:p w:rsidR="00152C4B" w:rsidRPr="00B301D1" w:rsidRDefault="00152C4B" w:rsidP="009D56C7">
            <w:pPr>
              <w:pStyle w:val="Hlavnnadpis"/>
              <w:jc w:val="left"/>
              <w:rPr>
                <w:b w:val="0"/>
                <w:sz w:val="20"/>
              </w:rPr>
            </w:pPr>
            <w:r>
              <w:rPr>
                <w:b w:val="0"/>
                <w:sz w:val="20"/>
              </w:rPr>
              <w:t>dodávka</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Druh výběrového řízení</w:t>
            </w:r>
          </w:p>
        </w:tc>
        <w:tc>
          <w:tcPr>
            <w:tcW w:w="5986" w:type="dxa"/>
            <w:shd w:val="clear" w:color="auto" w:fill="auto"/>
            <w:vAlign w:val="center"/>
          </w:tcPr>
          <w:p w:rsidR="00152C4B" w:rsidRPr="00B301D1" w:rsidRDefault="00152C4B" w:rsidP="009D56C7">
            <w:pPr>
              <w:pStyle w:val="Hlavnnadpis"/>
              <w:jc w:val="left"/>
              <w:rPr>
                <w:b w:val="0"/>
                <w:sz w:val="20"/>
              </w:rPr>
            </w:pPr>
            <w:r w:rsidRPr="00B301D1">
              <w:rPr>
                <w:b w:val="0"/>
                <w:sz w:val="20"/>
              </w:rPr>
              <w:t>Zakázka malého rozsahu</w:t>
            </w:r>
          </w:p>
        </w:tc>
      </w:tr>
      <w:tr w:rsidR="00152C4B" w:rsidRPr="00B301D1" w:rsidTr="009D56C7">
        <w:trPr>
          <w:trHeight w:val="390"/>
        </w:trPr>
        <w:tc>
          <w:tcPr>
            <w:tcW w:w="3510" w:type="dxa"/>
            <w:shd w:val="clear" w:color="auto" w:fill="FFFF00"/>
            <w:vAlign w:val="center"/>
          </w:tcPr>
          <w:p w:rsidR="00152C4B" w:rsidRPr="00B301D1" w:rsidRDefault="00152C4B" w:rsidP="009D56C7">
            <w:pPr>
              <w:spacing w:before="60" w:after="60"/>
              <w:jc w:val="left"/>
              <w:rPr>
                <w:b/>
                <w:sz w:val="22"/>
                <w:szCs w:val="22"/>
              </w:rPr>
            </w:pPr>
            <w:r w:rsidRPr="00B301D1">
              <w:rPr>
                <w:b/>
                <w:sz w:val="22"/>
                <w:szCs w:val="22"/>
              </w:rPr>
              <w:t xml:space="preserve">Datum vyhlášení zakázky </w:t>
            </w:r>
          </w:p>
          <w:p w:rsidR="00152C4B" w:rsidRPr="00B301D1" w:rsidRDefault="00152C4B" w:rsidP="009D56C7">
            <w:pPr>
              <w:pStyle w:val="Hlavnnadpis"/>
              <w:spacing w:before="60" w:after="60"/>
              <w:jc w:val="left"/>
              <w:rPr>
                <w:sz w:val="22"/>
                <w:szCs w:val="22"/>
              </w:rPr>
            </w:pPr>
          </w:p>
        </w:tc>
        <w:tc>
          <w:tcPr>
            <w:tcW w:w="5986" w:type="dxa"/>
            <w:shd w:val="clear" w:color="auto" w:fill="auto"/>
            <w:vAlign w:val="center"/>
          </w:tcPr>
          <w:p w:rsidR="00152C4B" w:rsidRPr="00B301D1" w:rsidRDefault="001B3660" w:rsidP="009D56C7">
            <w:pPr>
              <w:pStyle w:val="Hlavnnadpis"/>
              <w:ind w:left="34"/>
              <w:jc w:val="left"/>
              <w:rPr>
                <w:b w:val="0"/>
                <w:sz w:val="20"/>
              </w:rPr>
            </w:pPr>
            <w:proofErr w:type="gramStart"/>
            <w:r>
              <w:rPr>
                <w:b w:val="0"/>
                <w:sz w:val="20"/>
              </w:rPr>
              <w:t>9.2.2016</w:t>
            </w:r>
            <w:proofErr w:type="gramEnd"/>
          </w:p>
        </w:tc>
      </w:tr>
      <w:tr w:rsidR="00152C4B" w:rsidRPr="00FD4B33"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Zadavatel:</w:t>
            </w:r>
          </w:p>
        </w:tc>
        <w:tc>
          <w:tcPr>
            <w:tcW w:w="5986" w:type="dxa"/>
            <w:shd w:val="clear" w:color="auto" w:fill="auto"/>
            <w:vAlign w:val="center"/>
          </w:tcPr>
          <w:p w:rsidR="00152C4B" w:rsidRPr="00FD4B33" w:rsidRDefault="00152C4B" w:rsidP="009D56C7">
            <w:pPr>
              <w:spacing w:before="60"/>
              <w:jc w:val="left"/>
            </w:pPr>
            <w:r w:rsidRPr="00FD4B33">
              <w:t>ČEPRO, a.s. se sídlem: Dělnická 213/12 , 1700</w:t>
            </w:r>
            <w:r>
              <w:t>0</w:t>
            </w:r>
            <w:r w:rsidRPr="00FD4B33">
              <w:t xml:space="preserve"> Praha 7</w:t>
            </w:r>
            <w:r>
              <w:t>, Holešovice</w:t>
            </w:r>
          </w:p>
          <w:p w:rsidR="00152C4B" w:rsidRPr="00FD4B33" w:rsidRDefault="00152C4B" w:rsidP="009D56C7">
            <w:pPr>
              <w:spacing w:before="60"/>
              <w:jc w:val="left"/>
            </w:pPr>
            <w:r w:rsidRPr="00FD4B33">
              <w:t>IČ: 60193531,</w:t>
            </w:r>
            <w:r>
              <w:t xml:space="preserve"> D</w:t>
            </w:r>
            <w:r w:rsidRPr="00FD4B33">
              <w:t>IČ:  CZ 601 93 531</w:t>
            </w:r>
          </w:p>
          <w:p w:rsidR="00152C4B" w:rsidRPr="00FD4B33" w:rsidRDefault="00152C4B" w:rsidP="009D56C7">
            <w:pPr>
              <w:spacing w:before="60"/>
              <w:jc w:val="left"/>
            </w:pPr>
            <w:r w:rsidRPr="00FD4B33">
              <w:t xml:space="preserve">zapsaná v obchodním rejstříku u Městského soudu v Praze pod spis. </w:t>
            </w:r>
            <w:proofErr w:type="gramStart"/>
            <w:r w:rsidRPr="00FD4B33">
              <w:t>zn.</w:t>
            </w:r>
            <w:proofErr w:type="gramEnd"/>
            <w:r w:rsidRPr="00FD4B33">
              <w:t xml:space="preserve"> B 2341</w:t>
            </w:r>
          </w:p>
          <w:p w:rsidR="00152C4B" w:rsidRPr="00FD4B33" w:rsidRDefault="00152C4B" w:rsidP="009D56C7">
            <w:pPr>
              <w:spacing w:before="60"/>
              <w:jc w:val="left"/>
            </w:pPr>
            <w:r w:rsidRPr="00FD4B33">
              <w:t>Zastoupena:</w:t>
            </w:r>
            <w:r w:rsidRPr="00FD4B33">
              <w:tab/>
              <w:t>Mgr. Jan Duspěva, předseda představenstva</w:t>
            </w:r>
          </w:p>
          <w:p w:rsidR="00152C4B" w:rsidRPr="00FD4B33" w:rsidRDefault="00152C4B" w:rsidP="009D56C7">
            <w:pPr>
              <w:spacing w:before="60"/>
              <w:jc w:val="left"/>
            </w:pPr>
            <w:r w:rsidRPr="00FD4B33">
              <w:tab/>
            </w:r>
            <w:r w:rsidRPr="00FD4B33">
              <w:tab/>
            </w:r>
            <w:r>
              <w:t xml:space="preserve">           I</w:t>
            </w:r>
            <w:r w:rsidRPr="00FD4B33">
              <w:t>ng. Ladislav Staněk, člen představenstva</w:t>
            </w:r>
          </w:p>
          <w:p w:rsidR="00152C4B" w:rsidRPr="00FD4B33" w:rsidRDefault="00152C4B" w:rsidP="009D56C7">
            <w:pPr>
              <w:spacing w:before="60"/>
              <w:jc w:val="left"/>
            </w:pP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Kontaktní osoba zadavatele ve věci zakázky</w:t>
            </w:r>
          </w:p>
        </w:tc>
        <w:tc>
          <w:tcPr>
            <w:tcW w:w="5986" w:type="dxa"/>
            <w:shd w:val="clear" w:color="auto" w:fill="auto"/>
            <w:vAlign w:val="center"/>
          </w:tcPr>
          <w:p w:rsidR="00152C4B" w:rsidRPr="00B301D1" w:rsidRDefault="00152C4B" w:rsidP="009D56C7">
            <w:pPr>
              <w:overflowPunct w:val="0"/>
              <w:autoSpaceDE w:val="0"/>
              <w:autoSpaceDN w:val="0"/>
              <w:adjustRightInd w:val="0"/>
              <w:jc w:val="left"/>
              <w:textAlignment w:val="baseline"/>
              <w:rPr>
                <w:rFonts w:cs="Arial"/>
              </w:rPr>
            </w:pPr>
            <w:r w:rsidRPr="00B301D1">
              <w:rPr>
                <w:rFonts w:cs="Arial"/>
              </w:rPr>
              <w:t xml:space="preserve">Lenka </w:t>
            </w:r>
            <w:proofErr w:type="gramStart"/>
            <w:r w:rsidRPr="00B301D1">
              <w:rPr>
                <w:rFonts w:cs="Arial"/>
              </w:rPr>
              <w:t>Hošková,  tel.</w:t>
            </w:r>
            <w:proofErr w:type="gramEnd"/>
            <w:r w:rsidRPr="00B301D1">
              <w:rPr>
                <w:rFonts w:cs="Arial"/>
              </w:rPr>
              <w:t>: 221 968 246, lenka.hoskova@ceproas.cz</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 xml:space="preserve">Kontaktní osoba zadavatele ve věcech </w:t>
            </w:r>
            <w:r>
              <w:rPr>
                <w:sz w:val="22"/>
                <w:szCs w:val="22"/>
              </w:rPr>
              <w:t>odborných</w:t>
            </w:r>
          </w:p>
        </w:tc>
        <w:tc>
          <w:tcPr>
            <w:tcW w:w="5986" w:type="dxa"/>
            <w:shd w:val="clear" w:color="auto" w:fill="auto"/>
            <w:vAlign w:val="center"/>
          </w:tcPr>
          <w:p w:rsidR="00152C4B" w:rsidRPr="0031239A" w:rsidRDefault="00152C4B" w:rsidP="009D56C7">
            <w:pPr>
              <w:jc w:val="left"/>
            </w:pP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Lhůta pro podání nabídek</w:t>
            </w:r>
          </w:p>
        </w:tc>
        <w:tc>
          <w:tcPr>
            <w:tcW w:w="5986" w:type="dxa"/>
            <w:shd w:val="clear" w:color="auto" w:fill="auto"/>
            <w:vAlign w:val="center"/>
          </w:tcPr>
          <w:p w:rsidR="00152C4B" w:rsidRPr="00B301D1" w:rsidRDefault="0077730D" w:rsidP="009D56C7">
            <w:pPr>
              <w:jc w:val="left"/>
              <w:rPr>
                <w:b/>
              </w:rPr>
            </w:pPr>
            <w:r>
              <w:rPr>
                <w:b/>
              </w:rPr>
              <w:t>22. 2. 2016 do 10 hodin</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Místo pro podání nabídek</w:t>
            </w:r>
          </w:p>
        </w:tc>
        <w:tc>
          <w:tcPr>
            <w:tcW w:w="5986" w:type="dxa"/>
            <w:shd w:val="clear" w:color="auto" w:fill="auto"/>
            <w:vAlign w:val="center"/>
          </w:tcPr>
          <w:p w:rsidR="00152C4B" w:rsidRDefault="00152C4B" w:rsidP="009D56C7">
            <w:pPr>
              <w:jc w:val="left"/>
            </w:pPr>
            <w:r w:rsidRPr="003B393F">
              <w:t>v elektronické podobě prostřednictvím profilu zadavatele na adrese</w:t>
            </w:r>
            <w:r>
              <w:t xml:space="preserve"> </w:t>
            </w:r>
            <w:hyperlink r:id="rId10" w:history="1">
              <w:r w:rsidRPr="004651DD">
                <w:rPr>
                  <w:rStyle w:val="Hypertextovodkaz"/>
                </w:rPr>
                <w:t>https://www.softender.cz/home/profil/992824</w:t>
              </w:r>
            </w:hyperlink>
          </w:p>
          <w:p w:rsidR="00152C4B" w:rsidRPr="00B301D1" w:rsidRDefault="00152C4B" w:rsidP="009D56C7">
            <w:pPr>
              <w:pStyle w:val="Hlavnnadpis"/>
              <w:jc w:val="left"/>
              <w:rPr>
                <w:sz w:val="24"/>
                <w:szCs w:val="24"/>
              </w:rPr>
            </w:pP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předpokládaný termín zahájení realizace</w:t>
            </w:r>
            <w:r>
              <w:rPr>
                <w:sz w:val="22"/>
                <w:szCs w:val="22"/>
              </w:rPr>
              <w:t>/uzavření rámcové smlouvy</w:t>
            </w:r>
          </w:p>
        </w:tc>
        <w:tc>
          <w:tcPr>
            <w:tcW w:w="5986" w:type="dxa"/>
            <w:shd w:val="clear" w:color="auto" w:fill="auto"/>
            <w:vAlign w:val="center"/>
          </w:tcPr>
          <w:p w:rsidR="00152C4B" w:rsidRPr="001341B3" w:rsidRDefault="00152C4B" w:rsidP="009D56C7">
            <w:pPr>
              <w:tabs>
                <w:tab w:val="left" w:pos="3402"/>
              </w:tabs>
            </w:pPr>
            <w:r>
              <w:t>Březen 2016</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předpokládaný termín ukončení realizace</w:t>
            </w:r>
            <w:r>
              <w:rPr>
                <w:sz w:val="22"/>
                <w:szCs w:val="22"/>
              </w:rPr>
              <w:t>/ukončení rámcové smlouvy</w:t>
            </w:r>
          </w:p>
        </w:tc>
        <w:tc>
          <w:tcPr>
            <w:tcW w:w="5986" w:type="dxa"/>
            <w:shd w:val="clear" w:color="auto" w:fill="auto"/>
            <w:vAlign w:val="center"/>
          </w:tcPr>
          <w:p w:rsidR="00152C4B" w:rsidRPr="00B301D1" w:rsidRDefault="00152C4B" w:rsidP="009D56C7">
            <w:pPr>
              <w:tabs>
                <w:tab w:val="left" w:pos="3402"/>
              </w:tabs>
              <w:rPr>
                <w:sz w:val="24"/>
                <w:szCs w:val="24"/>
              </w:rPr>
            </w:pPr>
            <w:r w:rsidRPr="00152C4B">
              <w:t>Duben 2016</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Místo plnění</w:t>
            </w:r>
          </w:p>
        </w:tc>
        <w:tc>
          <w:tcPr>
            <w:tcW w:w="5986" w:type="dxa"/>
            <w:shd w:val="clear" w:color="auto" w:fill="auto"/>
            <w:vAlign w:val="center"/>
          </w:tcPr>
          <w:p w:rsidR="00152C4B" w:rsidRPr="009947E0" w:rsidRDefault="00152C4B" w:rsidP="009D56C7">
            <w:pPr>
              <w:jc w:val="left"/>
            </w:pPr>
            <w:r>
              <w:t>Sídlo společnosti</w:t>
            </w:r>
          </w:p>
        </w:tc>
      </w:tr>
      <w:tr w:rsidR="00152C4B" w:rsidRPr="00D738D4"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Hodnotící kritéria</w:t>
            </w:r>
          </w:p>
        </w:tc>
        <w:tc>
          <w:tcPr>
            <w:tcW w:w="5986" w:type="dxa"/>
            <w:shd w:val="clear" w:color="auto" w:fill="auto"/>
            <w:vAlign w:val="center"/>
          </w:tcPr>
          <w:p w:rsidR="00152C4B" w:rsidRPr="00B301D1" w:rsidRDefault="00152C4B" w:rsidP="009D56C7">
            <w:pPr>
              <w:pStyle w:val="Hlavnnadpis"/>
              <w:jc w:val="left"/>
              <w:rPr>
                <w:sz w:val="20"/>
              </w:rPr>
            </w:pPr>
            <w:r>
              <w:rPr>
                <w:sz w:val="20"/>
              </w:rPr>
              <w:t>Ekonomická výhodnost</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 xml:space="preserve">Splatnost faktur </w:t>
            </w:r>
          </w:p>
        </w:tc>
        <w:tc>
          <w:tcPr>
            <w:tcW w:w="5986" w:type="dxa"/>
            <w:shd w:val="clear" w:color="auto" w:fill="auto"/>
            <w:vAlign w:val="center"/>
          </w:tcPr>
          <w:p w:rsidR="00152C4B" w:rsidRPr="00B301D1" w:rsidRDefault="00152C4B" w:rsidP="009D56C7">
            <w:pPr>
              <w:pStyle w:val="Hlavnnadpis"/>
              <w:jc w:val="left"/>
              <w:rPr>
                <w:b w:val="0"/>
                <w:sz w:val="20"/>
              </w:rPr>
            </w:pPr>
            <w:r>
              <w:rPr>
                <w:b w:val="0"/>
                <w:sz w:val="20"/>
              </w:rPr>
              <w:t>30 dnů</w:t>
            </w:r>
          </w:p>
        </w:tc>
      </w:tr>
      <w:tr w:rsidR="00152C4B" w:rsidRPr="00B301D1" w:rsidTr="009D56C7">
        <w:tc>
          <w:tcPr>
            <w:tcW w:w="3510" w:type="dxa"/>
            <w:shd w:val="clear" w:color="auto" w:fill="FFFF00"/>
            <w:vAlign w:val="center"/>
          </w:tcPr>
          <w:p w:rsidR="00152C4B" w:rsidRPr="00B301D1" w:rsidRDefault="00152C4B" w:rsidP="009D56C7">
            <w:pPr>
              <w:pStyle w:val="Hlavnnadpis"/>
              <w:spacing w:before="60" w:after="60"/>
              <w:jc w:val="left"/>
              <w:rPr>
                <w:sz w:val="22"/>
                <w:szCs w:val="22"/>
              </w:rPr>
            </w:pPr>
            <w:r w:rsidRPr="00B301D1">
              <w:rPr>
                <w:sz w:val="22"/>
                <w:szCs w:val="22"/>
              </w:rPr>
              <w:t>Termín místního šetření</w:t>
            </w:r>
          </w:p>
        </w:tc>
        <w:tc>
          <w:tcPr>
            <w:tcW w:w="5986" w:type="dxa"/>
            <w:shd w:val="clear" w:color="auto" w:fill="auto"/>
            <w:vAlign w:val="center"/>
          </w:tcPr>
          <w:p w:rsidR="00152C4B" w:rsidRPr="00B301D1" w:rsidRDefault="00152C4B" w:rsidP="009D56C7">
            <w:pPr>
              <w:pStyle w:val="Hlavnnadpis"/>
              <w:jc w:val="left"/>
              <w:rPr>
                <w:b w:val="0"/>
                <w:sz w:val="20"/>
              </w:rPr>
            </w:pPr>
          </w:p>
        </w:tc>
      </w:tr>
    </w:tbl>
    <w:p w:rsidR="00AF26B7" w:rsidRDefault="00AF26B7">
      <w:pPr>
        <w:rPr>
          <w:noProof/>
        </w:rPr>
      </w:pPr>
    </w:p>
    <w:p w:rsidR="00AF26B7" w:rsidRDefault="00AF26B7" w:rsidP="00AF26B7"/>
    <w:p w:rsidR="00AF26B7" w:rsidRDefault="00AF26B7" w:rsidP="00AF26B7"/>
    <w:p w:rsidR="00AF26B7" w:rsidRPr="00CB1868" w:rsidRDefault="002C6BD8" w:rsidP="00CB1868">
      <w:pPr>
        <w:pStyle w:val="01-L"/>
      </w:pPr>
      <w:r w:rsidRPr="00CB1868">
        <w:lastRenderedPageBreak/>
        <w:t>Základní parametry zakázky</w:t>
      </w:r>
    </w:p>
    <w:p w:rsidR="00B154D9" w:rsidRDefault="00B154D9" w:rsidP="00AF26B7"/>
    <w:p w:rsidR="00AF26B7" w:rsidRPr="00B154D9" w:rsidRDefault="00AF26B7" w:rsidP="00B154D9">
      <w:pPr>
        <w:pStyle w:val="02-ODST-2"/>
        <w:rPr>
          <w:b/>
        </w:rPr>
      </w:pPr>
      <w:r w:rsidRPr="00B154D9">
        <w:rPr>
          <w:b/>
        </w:rPr>
        <w:t>Vymezení předmětu zakázky</w:t>
      </w:r>
    </w:p>
    <w:p w:rsidR="00C22EF8" w:rsidRDefault="00C22EF8" w:rsidP="00AF26B7"/>
    <w:p w:rsidR="002C6BD8" w:rsidRDefault="002C6BD8" w:rsidP="002C6BD8">
      <w:r w:rsidRPr="00E0736C">
        <w:t xml:space="preserve">Předmětem této zakázky je dodávka reklamních vlajek pro čerpací stanice </w:t>
      </w:r>
      <w:proofErr w:type="spellStart"/>
      <w:r w:rsidRPr="00E0736C">
        <w:t>EuroOil</w:t>
      </w:r>
      <w:proofErr w:type="spellEnd"/>
      <w:r w:rsidRPr="00E0736C">
        <w:t xml:space="preserve"> (dále též jen „ČS EO) dle předaných podkladů, </w:t>
      </w:r>
      <w:proofErr w:type="gramStart"/>
      <w:r w:rsidRPr="00E0736C">
        <w:t>jenž</w:t>
      </w:r>
      <w:proofErr w:type="gramEnd"/>
      <w:r w:rsidRPr="00E0736C">
        <w:t xml:space="preserve"> </w:t>
      </w:r>
      <w:proofErr w:type="gramStart"/>
      <w:r w:rsidRPr="00E0736C">
        <w:t>jsou</w:t>
      </w:r>
      <w:proofErr w:type="gramEnd"/>
      <w:r w:rsidRPr="00E0736C">
        <w:t xml:space="preserve"> nedílnou součástí této </w:t>
      </w:r>
      <w:r w:rsidR="00C30D89">
        <w:t xml:space="preserve">zadávací dokumentace </w:t>
      </w:r>
      <w:r w:rsidRPr="00E0736C">
        <w:t xml:space="preserve">jako příloha č. </w:t>
      </w:r>
      <w:r w:rsidR="003D0032">
        <w:t>2</w:t>
      </w:r>
      <w:r w:rsidRPr="00E0736C">
        <w:t>, v následujícím rozsahu:</w:t>
      </w:r>
    </w:p>
    <w:p w:rsidR="00222495" w:rsidRDefault="00222495" w:rsidP="002C6BD8"/>
    <w:tbl>
      <w:tblPr>
        <w:tblW w:w="9441" w:type="dxa"/>
        <w:tblInd w:w="55" w:type="dxa"/>
        <w:tblCellMar>
          <w:left w:w="70" w:type="dxa"/>
          <w:right w:w="70" w:type="dxa"/>
        </w:tblCellMar>
        <w:tblLook w:val="0000" w:firstRow="0" w:lastRow="0" w:firstColumn="0" w:lastColumn="0" w:noHBand="0" w:noVBand="0"/>
      </w:tblPr>
      <w:tblGrid>
        <w:gridCol w:w="6956"/>
        <w:gridCol w:w="2485"/>
      </w:tblGrid>
      <w:tr w:rsidR="002C6BD8" w:rsidRPr="0036759D" w:rsidTr="009D56C7">
        <w:trPr>
          <w:trHeight w:val="255"/>
        </w:trPr>
        <w:tc>
          <w:tcPr>
            <w:tcW w:w="695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C6BD8" w:rsidRPr="001635EA" w:rsidRDefault="002C6BD8" w:rsidP="009D56C7">
            <w:pPr>
              <w:rPr>
                <w:rFonts w:cs="Arial"/>
                <w:b/>
              </w:rPr>
            </w:pPr>
            <w:r w:rsidRPr="0036759D">
              <w:rPr>
                <w:rFonts w:cs="Arial"/>
              </w:rPr>
              <w:t> </w:t>
            </w:r>
          </w:p>
        </w:tc>
        <w:tc>
          <w:tcPr>
            <w:tcW w:w="2485" w:type="dxa"/>
            <w:tcBorders>
              <w:top w:val="single" w:sz="4" w:space="0" w:color="auto"/>
              <w:left w:val="nil"/>
              <w:bottom w:val="single" w:sz="4" w:space="0" w:color="auto"/>
              <w:right w:val="single" w:sz="4" w:space="0" w:color="auto"/>
            </w:tcBorders>
            <w:shd w:val="clear" w:color="auto" w:fill="auto"/>
            <w:noWrap/>
            <w:vAlign w:val="bottom"/>
          </w:tcPr>
          <w:p w:rsidR="002C6BD8" w:rsidRPr="0036759D" w:rsidRDefault="002C6BD8" w:rsidP="009D56C7">
            <w:pPr>
              <w:spacing w:before="0"/>
              <w:jc w:val="center"/>
              <w:rPr>
                <w:rFonts w:cs="Arial"/>
                <w:b/>
                <w:bCs/>
              </w:rPr>
            </w:pPr>
            <w:r>
              <w:rPr>
                <w:rFonts w:cs="Arial"/>
                <w:b/>
                <w:bCs/>
              </w:rPr>
              <w:t>Počet ks</w:t>
            </w:r>
          </w:p>
        </w:tc>
      </w:tr>
      <w:tr w:rsidR="002C6BD8" w:rsidRPr="0036759D" w:rsidTr="009D56C7">
        <w:trPr>
          <w:trHeight w:val="255"/>
        </w:trPr>
        <w:tc>
          <w:tcPr>
            <w:tcW w:w="6956" w:type="dxa"/>
            <w:tcBorders>
              <w:top w:val="nil"/>
              <w:left w:val="single" w:sz="4" w:space="0" w:color="auto"/>
              <w:bottom w:val="single" w:sz="4" w:space="0" w:color="auto"/>
              <w:right w:val="single" w:sz="4" w:space="0" w:color="auto"/>
            </w:tcBorders>
            <w:shd w:val="clear" w:color="auto" w:fill="auto"/>
            <w:noWrap/>
            <w:vAlign w:val="bottom"/>
          </w:tcPr>
          <w:p w:rsidR="002C6BD8" w:rsidRPr="0036759D" w:rsidRDefault="002C6BD8" w:rsidP="009D56C7">
            <w:pPr>
              <w:rPr>
                <w:rFonts w:cs="Arial"/>
              </w:rPr>
            </w:pPr>
            <w:r>
              <w:t xml:space="preserve">vlajka 100x200 cm </w:t>
            </w:r>
            <w:proofErr w:type="spellStart"/>
            <w:r>
              <w:t>EuroOil</w:t>
            </w:r>
            <w:proofErr w:type="spellEnd"/>
            <w:r>
              <w:t xml:space="preserve">, podklad modrý odstín RAL 5017                           </w:t>
            </w:r>
          </w:p>
        </w:tc>
        <w:tc>
          <w:tcPr>
            <w:tcW w:w="2485" w:type="dxa"/>
            <w:tcBorders>
              <w:top w:val="nil"/>
              <w:left w:val="nil"/>
              <w:bottom w:val="single" w:sz="4" w:space="0" w:color="auto"/>
              <w:right w:val="single" w:sz="4" w:space="0" w:color="auto"/>
            </w:tcBorders>
            <w:shd w:val="clear" w:color="auto" w:fill="auto"/>
            <w:noWrap/>
            <w:vAlign w:val="bottom"/>
          </w:tcPr>
          <w:p w:rsidR="002C6BD8" w:rsidRPr="0036759D" w:rsidRDefault="00184AAD" w:rsidP="009D56C7">
            <w:pPr>
              <w:spacing w:before="0"/>
              <w:jc w:val="center"/>
              <w:rPr>
                <w:rFonts w:cs="Arial"/>
              </w:rPr>
            </w:pPr>
            <w:r>
              <w:rPr>
                <w:rFonts w:cs="Arial"/>
              </w:rPr>
              <w:t>250</w:t>
            </w:r>
          </w:p>
        </w:tc>
      </w:tr>
      <w:tr w:rsidR="002C6BD8" w:rsidRPr="0036759D" w:rsidTr="009D56C7">
        <w:trPr>
          <w:trHeight w:val="255"/>
        </w:trPr>
        <w:tc>
          <w:tcPr>
            <w:tcW w:w="6956" w:type="dxa"/>
            <w:tcBorders>
              <w:top w:val="nil"/>
              <w:left w:val="single" w:sz="4" w:space="0" w:color="auto"/>
              <w:bottom w:val="single" w:sz="4" w:space="0" w:color="auto"/>
              <w:right w:val="single" w:sz="4" w:space="0" w:color="auto"/>
            </w:tcBorders>
            <w:shd w:val="clear" w:color="auto" w:fill="auto"/>
            <w:noWrap/>
            <w:vAlign w:val="bottom"/>
          </w:tcPr>
          <w:p w:rsidR="002C6BD8" w:rsidRDefault="002C6BD8" w:rsidP="009D56C7">
            <w:r>
              <w:t xml:space="preserve">vlajka 140x280 cm </w:t>
            </w:r>
            <w:proofErr w:type="spellStart"/>
            <w:r>
              <w:t>EuroOil</w:t>
            </w:r>
            <w:proofErr w:type="spellEnd"/>
            <w:r>
              <w:t xml:space="preserve">, podklad modrý odstín RAL 5017                          </w:t>
            </w:r>
          </w:p>
        </w:tc>
        <w:tc>
          <w:tcPr>
            <w:tcW w:w="2485" w:type="dxa"/>
            <w:tcBorders>
              <w:top w:val="nil"/>
              <w:left w:val="nil"/>
              <w:bottom w:val="single" w:sz="4" w:space="0" w:color="auto"/>
              <w:right w:val="single" w:sz="4" w:space="0" w:color="auto"/>
            </w:tcBorders>
            <w:shd w:val="clear" w:color="auto" w:fill="auto"/>
            <w:noWrap/>
            <w:vAlign w:val="bottom"/>
          </w:tcPr>
          <w:p w:rsidR="002C6BD8" w:rsidRPr="0036759D" w:rsidRDefault="00184AAD" w:rsidP="009D56C7">
            <w:pPr>
              <w:spacing w:before="0"/>
              <w:jc w:val="center"/>
              <w:rPr>
                <w:rFonts w:cs="Arial"/>
              </w:rPr>
            </w:pPr>
            <w:r>
              <w:rPr>
                <w:rFonts w:cs="Arial"/>
              </w:rPr>
              <w:t>900</w:t>
            </w:r>
          </w:p>
        </w:tc>
      </w:tr>
    </w:tbl>
    <w:p w:rsidR="00DD2CE8" w:rsidRDefault="00DD2CE8" w:rsidP="002C6BD8"/>
    <w:p w:rsidR="002C6BD8" w:rsidRDefault="002C6BD8" w:rsidP="002C6BD8">
      <w:r>
        <w:t>Vlajky jsou určeny k svislému vyvěšení na vnější lanko vlajkového stožáru.</w:t>
      </w:r>
    </w:p>
    <w:p w:rsidR="002C6BD8" w:rsidRDefault="002C6BD8" w:rsidP="002C6BD8">
      <w:r>
        <w:t>Materiál: vlajkovina o hmotnosti cca 120 g/m2</w:t>
      </w:r>
    </w:p>
    <w:p w:rsidR="002C6BD8" w:rsidRDefault="00DD2CE8" w:rsidP="002C6BD8">
      <w:proofErr w:type="gramStart"/>
      <w:r>
        <w:t xml:space="preserve">Zadavatel </w:t>
      </w:r>
      <w:r w:rsidR="002C6BD8">
        <w:t xml:space="preserve">  požaduje</w:t>
      </w:r>
      <w:proofErr w:type="gramEnd"/>
      <w:r w:rsidR="002C6BD8">
        <w:t xml:space="preserve"> vlajky v provedení pro exteriér, tj. vlajky musí být určeny k venkovnímu užití </w:t>
      </w:r>
      <w:r w:rsidR="002C6BD8" w:rsidRPr="000A6520">
        <w:t xml:space="preserve">k celoročnímu vyvěšení v nepříznivých povětrnostních podmínkách. </w:t>
      </w:r>
      <w:r>
        <w:t xml:space="preserve">Zadavatel </w:t>
      </w:r>
      <w:r w:rsidR="002C6BD8" w:rsidRPr="000A6520">
        <w:t>požaduje záruku dodavatele v souladu s požadavky uvedenými v</w:t>
      </w:r>
      <w:r w:rsidR="002C6BD8">
        <w:t>e všeobecných obchodních podmínkách (</w:t>
      </w:r>
      <w:hyperlink r:id="rId11" w:history="1">
        <w:r w:rsidR="002C6BD8">
          <w:rPr>
            <w:rStyle w:val="Hypertextovodkaz"/>
          </w:rPr>
          <w:t>https://www.ceproas.</w:t>
        </w:r>
        <w:proofErr w:type="gramStart"/>
        <w:r w:rsidR="002C6BD8">
          <w:rPr>
            <w:rStyle w:val="Hypertextovodkaz"/>
          </w:rPr>
          <w:t>cz/vop-objednavka</w:t>
        </w:r>
      </w:hyperlink>
      <w:r w:rsidR="002C6BD8">
        <w:rPr>
          <w:rStyle w:val="Hypertextovodkaz"/>
        </w:rPr>
        <w:t xml:space="preserve">) </w:t>
      </w:r>
      <w:r w:rsidR="002C6BD8" w:rsidRPr="000A6520">
        <w:t xml:space="preserve"> a se</w:t>
      </w:r>
      <w:proofErr w:type="gramEnd"/>
      <w:r w:rsidR="002C6BD8" w:rsidRPr="000A6520">
        <w:t xml:space="preserve"> zaručením doby životnosti tohoto spotřebního zboží minimálně v délce 6 měsíců (tj. s minimálně 6 měsíční zárukou životnosti na roztřepení rohů, utržení úchytů a barevnou stálost).</w:t>
      </w:r>
    </w:p>
    <w:p w:rsidR="006A394F" w:rsidRPr="006A394F" w:rsidRDefault="006A394F" w:rsidP="006A394F">
      <w:pPr>
        <w:rPr>
          <w:rFonts w:cs="Arial"/>
        </w:rPr>
      </w:pPr>
    </w:p>
    <w:p w:rsidR="00AF26B7" w:rsidRPr="00FB0F06" w:rsidRDefault="00AF26B7" w:rsidP="00FB0F06">
      <w:pPr>
        <w:pStyle w:val="02-ODST-2"/>
        <w:rPr>
          <w:b/>
        </w:rPr>
      </w:pPr>
      <w:r w:rsidRPr="00FB0F06">
        <w:rPr>
          <w:b/>
        </w:rPr>
        <w:t>Doba a místo plnění zakázky</w:t>
      </w:r>
    </w:p>
    <w:p w:rsidR="00AF26B7" w:rsidRPr="001200CB" w:rsidRDefault="00AF26B7" w:rsidP="00AF26B7">
      <w:pPr>
        <w:rPr>
          <w:u w:val="single"/>
        </w:rPr>
      </w:pPr>
      <w:r w:rsidRPr="001200CB">
        <w:rPr>
          <w:u w:val="single"/>
        </w:rPr>
        <w:t>Doba plnění:</w:t>
      </w:r>
    </w:p>
    <w:p w:rsidR="00AF26B7" w:rsidRDefault="00AF26B7" w:rsidP="00AF26B7">
      <w:r>
        <w:t xml:space="preserve">termín ukončení realizace předmětu </w:t>
      </w:r>
      <w:r w:rsidR="00D36C90">
        <w:t xml:space="preserve">této </w:t>
      </w:r>
      <w:r>
        <w:t>zakázky</w:t>
      </w:r>
      <w:r w:rsidR="00111AD5">
        <w:t xml:space="preserve"> nejpozději do </w:t>
      </w:r>
      <w:proofErr w:type="gramStart"/>
      <w:r w:rsidR="00150EB2">
        <w:t>15.4.2016</w:t>
      </w:r>
      <w:proofErr w:type="gramEnd"/>
    </w:p>
    <w:p w:rsidR="00AF26B7" w:rsidRPr="001200CB" w:rsidRDefault="00AF26B7" w:rsidP="00AF26B7">
      <w:pPr>
        <w:rPr>
          <w:u w:val="single"/>
        </w:rPr>
      </w:pPr>
      <w:r w:rsidRPr="001200CB">
        <w:rPr>
          <w:u w:val="single"/>
        </w:rPr>
        <w:t xml:space="preserve">Místo plnění: </w:t>
      </w:r>
    </w:p>
    <w:p w:rsidR="00AF26B7" w:rsidRDefault="006A394F" w:rsidP="00AF26B7">
      <w:r>
        <w:t>Sídlo společnosti</w:t>
      </w:r>
    </w:p>
    <w:p w:rsidR="00003075" w:rsidRPr="007C7B6F" w:rsidRDefault="00003075" w:rsidP="00003075">
      <w:pPr>
        <w:pStyle w:val="01-L"/>
      </w:pPr>
      <w:r w:rsidRPr="007C7B6F">
        <w:t>Další požadav</w:t>
      </w:r>
      <w:r>
        <w:t>ky na realizaci předmětu zakázky</w:t>
      </w:r>
    </w:p>
    <w:p w:rsidR="00003075" w:rsidRDefault="00280398" w:rsidP="00AF26B7">
      <w:r>
        <w:t>Uchazeč předloží současně s nabí</w:t>
      </w:r>
      <w:r w:rsidR="005E62B6">
        <w:t>dkou vzorek nabízené vlajkoviny, který bude do termínu elektronického podání nabídek doručen na výše uvedenou adresu zadavatele.</w:t>
      </w:r>
    </w:p>
    <w:p w:rsidR="00AF26B7" w:rsidRDefault="00AF26B7" w:rsidP="005614CA">
      <w:pPr>
        <w:pStyle w:val="01-L"/>
      </w:pPr>
      <w:r>
        <w:t xml:space="preserve">Obchodní podmínky včetně platebních </w:t>
      </w:r>
    </w:p>
    <w:p w:rsidR="00D17C01" w:rsidRPr="005614CA" w:rsidRDefault="00D17C01" w:rsidP="00D17C01">
      <w:pPr>
        <w:pStyle w:val="02-ODST-2"/>
        <w:rPr>
          <w:b/>
        </w:rPr>
      </w:pPr>
      <w:r w:rsidRPr="005614CA">
        <w:rPr>
          <w:b/>
        </w:rPr>
        <w:t>Smluvní podmínky</w:t>
      </w:r>
    </w:p>
    <w:p w:rsidR="00D17C01" w:rsidRDefault="00D17C01" w:rsidP="00D17C01">
      <w:r>
        <w:t xml:space="preserve">Obchodní, platební a jiné podmínky pro účely této zakázky jsou </w:t>
      </w:r>
      <w:r w:rsidRPr="007208DA">
        <w:t xml:space="preserve">uvedeny </w:t>
      </w:r>
      <w:r>
        <w:t xml:space="preserve">v textu této zadávací dokumentace a </w:t>
      </w:r>
      <w:r w:rsidRPr="007208DA">
        <w:t xml:space="preserve">ve </w:t>
      </w:r>
      <w:proofErr w:type="gramStart"/>
      <w:r w:rsidRPr="007208DA">
        <w:t>znění  všeobecných</w:t>
      </w:r>
      <w:proofErr w:type="gramEnd"/>
      <w:r w:rsidRPr="007208DA">
        <w:t xml:space="preserve"> obchodních podmínek („VOP“)</w:t>
      </w:r>
      <w:r>
        <w:t>, jež jsou</w:t>
      </w:r>
      <w:r w:rsidRPr="007208DA">
        <w:t xml:space="preserve"> dostupné na adrese https://www.ceproas.cz/vop-objednavka. </w:t>
      </w:r>
    </w:p>
    <w:p w:rsidR="00D17C01" w:rsidRDefault="00D17C01" w:rsidP="00D17C01"/>
    <w:p w:rsidR="00D17C01" w:rsidRDefault="00D17C01" w:rsidP="00D17C01">
      <w:r>
        <w:t>Smluvní vztah bude s vybraným dodavatelem uzavřen formou akceptace objednávky, tj. po ukončení tohoto řízení a oznámení o výběru nejvhodnější nabídky dodavatele bude vybranému dodavateli zadavatelem zaslána v elektronické podobě objednávka, jejíž přijetí dodavatel zadavateli potvrdí a objednávku bez výhrad akceptuje. V případě, že dodavatel objednávku akceptuje s jakýmikoliv výhradami, platí, že zadavatel není povinen akceptaci s jakýmikoliv výhradami dodavatele přijmout a smluvní vztah mezi stranami uzavřen není.</w:t>
      </w:r>
    </w:p>
    <w:p w:rsidR="00D17C01" w:rsidRDefault="00D17C01" w:rsidP="00D17C01"/>
    <w:p w:rsidR="00D17C01" w:rsidRPr="00C5495B" w:rsidRDefault="00D17C01" w:rsidP="00D17C01">
      <w:pPr>
        <w:pStyle w:val="02-ODST-2"/>
        <w:rPr>
          <w:b/>
        </w:rPr>
      </w:pPr>
      <w:r>
        <w:rPr>
          <w:b/>
        </w:rPr>
        <w:lastRenderedPageBreak/>
        <w:t>Upřesnění p</w:t>
      </w:r>
      <w:r w:rsidRPr="00C5495B">
        <w:rPr>
          <w:b/>
        </w:rPr>
        <w:t>latební</w:t>
      </w:r>
      <w:r>
        <w:rPr>
          <w:b/>
        </w:rPr>
        <w:t>ch</w:t>
      </w:r>
      <w:r w:rsidRPr="00C5495B">
        <w:rPr>
          <w:b/>
        </w:rPr>
        <w:t xml:space="preserve"> a fakturační</w:t>
      </w:r>
      <w:r>
        <w:rPr>
          <w:b/>
        </w:rPr>
        <w:t>ch</w:t>
      </w:r>
      <w:r w:rsidRPr="00C5495B">
        <w:rPr>
          <w:b/>
        </w:rPr>
        <w:t xml:space="preserve"> podmín</w:t>
      </w:r>
      <w:r>
        <w:rPr>
          <w:b/>
        </w:rPr>
        <w:t>ek</w:t>
      </w:r>
      <w:r w:rsidRPr="00C5495B">
        <w:rPr>
          <w:b/>
        </w:rPr>
        <w:tab/>
      </w:r>
    </w:p>
    <w:p w:rsidR="00D17C01" w:rsidRDefault="00D17C01" w:rsidP="00D17C01">
      <w:pPr>
        <w:pStyle w:val="05-ODST-3"/>
      </w:pPr>
      <w:r>
        <w:t xml:space="preserve">Podkladem pro zaplacení sjednané ceny je daňový doklad – faktura, kterou vystaví dodavatel. Zadavatel uhradí dodavateli sjednanou cenu vlajek na základě faktury, jež je dodavatel oprávněn vystavit k datu převzetí a předání vlajek </w:t>
      </w:r>
      <w:r w:rsidR="00761EA4">
        <w:t xml:space="preserve">na základě </w:t>
      </w:r>
      <w:r>
        <w:t xml:space="preserve">oboustranně </w:t>
      </w:r>
      <w:r w:rsidR="00761EA4">
        <w:t>podpisem st</w:t>
      </w:r>
      <w:r>
        <w:t>vrzeného Protokolu o předání a převzetí.</w:t>
      </w:r>
    </w:p>
    <w:p w:rsidR="00AF26B7" w:rsidRDefault="00AF26B7" w:rsidP="004F05DD">
      <w:pPr>
        <w:pStyle w:val="01-L"/>
      </w:pPr>
      <w:r>
        <w:t>Způsob zpracování nabídkové ceny</w:t>
      </w:r>
    </w:p>
    <w:p w:rsidR="00CB51C7" w:rsidRDefault="00CB51C7" w:rsidP="00CB51C7">
      <w:r>
        <w:t xml:space="preserve">Nabídka bude zpracována </w:t>
      </w:r>
      <w:r w:rsidRPr="004F52BF">
        <w:t xml:space="preserve">za kompletní dodávku </w:t>
      </w:r>
      <w:r w:rsidR="003B57F4">
        <w:t>dle</w:t>
      </w:r>
      <w:r w:rsidRPr="004F52BF">
        <w:t xml:space="preserve"> zadání v následujícím členění: </w:t>
      </w:r>
    </w:p>
    <w:p w:rsidR="00CB51C7" w:rsidRDefault="00CB51C7" w:rsidP="00CB51C7"/>
    <w:tbl>
      <w:tblPr>
        <w:tblW w:w="9441" w:type="dxa"/>
        <w:tblInd w:w="55" w:type="dxa"/>
        <w:tblCellMar>
          <w:left w:w="70" w:type="dxa"/>
          <w:right w:w="70" w:type="dxa"/>
        </w:tblCellMar>
        <w:tblLook w:val="0000" w:firstRow="0" w:lastRow="0" w:firstColumn="0" w:lastColumn="0" w:noHBand="0" w:noVBand="0"/>
      </w:tblPr>
      <w:tblGrid>
        <w:gridCol w:w="3980"/>
        <w:gridCol w:w="1422"/>
        <w:gridCol w:w="2232"/>
        <w:gridCol w:w="1807"/>
      </w:tblGrid>
      <w:tr w:rsidR="0054562E" w:rsidRPr="0036759D" w:rsidTr="0054562E">
        <w:trPr>
          <w:trHeight w:val="255"/>
        </w:trPr>
        <w:tc>
          <w:tcPr>
            <w:tcW w:w="39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4562E" w:rsidRPr="001635EA" w:rsidRDefault="0054562E" w:rsidP="004A6493">
            <w:pPr>
              <w:pStyle w:val="Odstavecseseznamem"/>
              <w:ind w:left="786"/>
              <w:rPr>
                <w:rFonts w:cs="Arial"/>
                <w:b/>
              </w:rPr>
            </w:pPr>
          </w:p>
        </w:tc>
        <w:tc>
          <w:tcPr>
            <w:tcW w:w="1422" w:type="dxa"/>
            <w:tcBorders>
              <w:top w:val="single" w:sz="4" w:space="0" w:color="auto"/>
              <w:left w:val="nil"/>
              <w:bottom w:val="single" w:sz="4" w:space="0" w:color="auto"/>
              <w:right w:val="single" w:sz="4" w:space="0" w:color="auto"/>
            </w:tcBorders>
            <w:shd w:val="clear" w:color="auto" w:fill="auto"/>
            <w:noWrap/>
            <w:vAlign w:val="bottom"/>
          </w:tcPr>
          <w:p w:rsidR="0054562E" w:rsidRPr="0036759D" w:rsidRDefault="0054562E" w:rsidP="0054562E">
            <w:pPr>
              <w:spacing w:before="0"/>
              <w:jc w:val="center"/>
              <w:rPr>
                <w:rFonts w:cs="Arial"/>
                <w:b/>
                <w:bCs/>
              </w:rPr>
            </w:pPr>
            <w:r>
              <w:rPr>
                <w:rFonts w:cs="Arial"/>
                <w:b/>
                <w:bCs/>
              </w:rPr>
              <w:t>Počet</w:t>
            </w:r>
            <w:r w:rsidR="00EA759F">
              <w:rPr>
                <w:rFonts w:cs="Arial"/>
                <w:b/>
                <w:bCs/>
              </w:rPr>
              <w:t xml:space="preserve"> ks</w:t>
            </w:r>
          </w:p>
        </w:tc>
        <w:tc>
          <w:tcPr>
            <w:tcW w:w="2232" w:type="dxa"/>
            <w:tcBorders>
              <w:top w:val="single" w:sz="4" w:space="0" w:color="auto"/>
              <w:left w:val="nil"/>
              <w:bottom w:val="single" w:sz="4" w:space="0" w:color="auto"/>
              <w:right w:val="single" w:sz="4" w:space="0" w:color="auto"/>
            </w:tcBorders>
          </w:tcPr>
          <w:p w:rsidR="00EA759F" w:rsidRDefault="00EA759F" w:rsidP="007D0B56">
            <w:pPr>
              <w:spacing w:before="0"/>
              <w:jc w:val="center"/>
              <w:rPr>
                <w:rFonts w:cs="Arial"/>
                <w:b/>
                <w:bCs/>
              </w:rPr>
            </w:pPr>
          </w:p>
          <w:p w:rsidR="00EA759F" w:rsidRDefault="00EA759F" w:rsidP="007D0B56">
            <w:pPr>
              <w:spacing w:before="0"/>
              <w:jc w:val="center"/>
              <w:rPr>
                <w:rFonts w:cs="Arial"/>
                <w:b/>
                <w:bCs/>
              </w:rPr>
            </w:pPr>
          </w:p>
          <w:p w:rsidR="00EA759F" w:rsidRDefault="00EA759F" w:rsidP="007D0B56">
            <w:pPr>
              <w:spacing w:before="0"/>
              <w:jc w:val="center"/>
              <w:rPr>
                <w:rFonts w:cs="Arial"/>
                <w:b/>
                <w:bCs/>
              </w:rPr>
            </w:pPr>
          </w:p>
          <w:p w:rsidR="0054562E" w:rsidRPr="0036759D" w:rsidRDefault="00EA759F" w:rsidP="007D0B56">
            <w:pPr>
              <w:spacing w:before="0"/>
              <w:jc w:val="center"/>
              <w:rPr>
                <w:rFonts w:cs="Arial"/>
                <w:b/>
                <w:bCs/>
              </w:rPr>
            </w:pPr>
            <w:r>
              <w:rPr>
                <w:rFonts w:cs="Arial"/>
                <w:b/>
                <w:bCs/>
              </w:rPr>
              <w:t>Cena za ks</w:t>
            </w:r>
          </w:p>
        </w:tc>
        <w:tc>
          <w:tcPr>
            <w:tcW w:w="1807" w:type="dxa"/>
            <w:tcBorders>
              <w:top w:val="single" w:sz="4" w:space="0" w:color="auto"/>
              <w:left w:val="nil"/>
              <w:bottom w:val="single" w:sz="4" w:space="0" w:color="auto"/>
              <w:right w:val="single" w:sz="4" w:space="0" w:color="auto"/>
            </w:tcBorders>
          </w:tcPr>
          <w:p w:rsidR="00EA759F" w:rsidRDefault="00EA759F" w:rsidP="007D0B56">
            <w:pPr>
              <w:spacing w:before="0"/>
              <w:jc w:val="center"/>
              <w:rPr>
                <w:rFonts w:cs="Arial"/>
                <w:b/>
                <w:bCs/>
              </w:rPr>
            </w:pPr>
          </w:p>
          <w:p w:rsidR="00EA759F" w:rsidRDefault="00EA759F" w:rsidP="007D0B56">
            <w:pPr>
              <w:spacing w:before="0"/>
              <w:jc w:val="center"/>
              <w:rPr>
                <w:rFonts w:cs="Arial"/>
                <w:b/>
                <w:bCs/>
              </w:rPr>
            </w:pPr>
          </w:p>
          <w:p w:rsidR="00EA759F" w:rsidRDefault="00EA759F" w:rsidP="007D0B56">
            <w:pPr>
              <w:spacing w:before="0"/>
              <w:jc w:val="center"/>
              <w:rPr>
                <w:rFonts w:cs="Arial"/>
                <w:b/>
                <w:bCs/>
              </w:rPr>
            </w:pPr>
          </w:p>
          <w:p w:rsidR="0054562E" w:rsidRPr="0036759D" w:rsidRDefault="00EA759F" w:rsidP="007D0B56">
            <w:pPr>
              <w:spacing w:before="0"/>
              <w:jc w:val="center"/>
              <w:rPr>
                <w:rFonts w:cs="Arial"/>
                <w:b/>
                <w:bCs/>
              </w:rPr>
            </w:pPr>
            <w:r>
              <w:rPr>
                <w:rFonts w:cs="Arial"/>
                <w:b/>
                <w:bCs/>
              </w:rPr>
              <w:t>Cena celkem</w:t>
            </w:r>
          </w:p>
        </w:tc>
      </w:tr>
      <w:tr w:rsidR="00604E35" w:rsidRPr="0036759D" w:rsidTr="0054562E">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604E35" w:rsidRPr="0036759D" w:rsidRDefault="00604E35" w:rsidP="00A2222B">
            <w:pPr>
              <w:rPr>
                <w:rFonts w:cs="Arial"/>
              </w:rPr>
            </w:pPr>
            <w:r>
              <w:t xml:space="preserve">vlajka 100x200 cm </w:t>
            </w:r>
            <w:proofErr w:type="spellStart"/>
            <w:r>
              <w:t>EuroOil</w:t>
            </w:r>
            <w:proofErr w:type="spellEnd"/>
            <w:r>
              <w:t xml:space="preserve">, podklad modrý odstín RAL 5017                           </w:t>
            </w:r>
          </w:p>
        </w:tc>
        <w:tc>
          <w:tcPr>
            <w:tcW w:w="1422" w:type="dxa"/>
            <w:tcBorders>
              <w:top w:val="nil"/>
              <w:left w:val="nil"/>
              <w:bottom w:val="single" w:sz="4" w:space="0" w:color="auto"/>
              <w:right w:val="single" w:sz="4" w:space="0" w:color="auto"/>
            </w:tcBorders>
            <w:shd w:val="clear" w:color="auto" w:fill="auto"/>
            <w:noWrap/>
            <w:vAlign w:val="bottom"/>
          </w:tcPr>
          <w:p w:rsidR="00604E35" w:rsidRPr="0036759D" w:rsidRDefault="00604E35" w:rsidP="00A2222B">
            <w:pPr>
              <w:spacing w:before="0"/>
              <w:jc w:val="center"/>
              <w:rPr>
                <w:rFonts w:cs="Arial"/>
              </w:rPr>
            </w:pPr>
            <w:r>
              <w:rPr>
                <w:rFonts w:cs="Arial"/>
              </w:rPr>
              <w:t>250</w:t>
            </w:r>
          </w:p>
        </w:tc>
        <w:tc>
          <w:tcPr>
            <w:tcW w:w="2232" w:type="dxa"/>
            <w:tcBorders>
              <w:top w:val="nil"/>
              <w:left w:val="nil"/>
              <w:bottom w:val="single" w:sz="4" w:space="0" w:color="auto"/>
              <w:right w:val="single" w:sz="4" w:space="0" w:color="auto"/>
            </w:tcBorders>
          </w:tcPr>
          <w:p w:rsidR="00604E35" w:rsidRPr="0036759D" w:rsidRDefault="00604E35" w:rsidP="007D0B56">
            <w:pPr>
              <w:spacing w:before="0"/>
              <w:jc w:val="left"/>
              <w:rPr>
                <w:rFonts w:cs="Arial"/>
              </w:rPr>
            </w:pPr>
          </w:p>
        </w:tc>
        <w:tc>
          <w:tcPr>
            <w:tcW w:w="1807" w:type="dxa"/>
            <w:tcBorders>
              <w:top w:val="nil"/>
              <w:left w:val="nil"/>
              <w:bottom w:val="single" w:sz="4" w:space="0" w:color="auto"/>
              <w:right w:val="single" w:sz="4" w:space="0" w:color="auto"/>
            </w:tcBorders>
          </w:tcPr>
          <w:p w:rsidR="00604E35" w:rsidRPr="0036759D" w:rsidRDefault="00604E35" w:rsidP="007D0B56">
            <w:pPr>
              <w:spacing w:before="0"/>
              <w:jc w:val="left"/>
              <w:rPr>
                <w:rFonts w:cs="Arial"/>
              </w:rPr>
            </w:pPr>
          </w:p>
        </w:tc>
      </w:tr>
      <w:tr w:rsidR="00604E35" w:rsidRPr="0036759D" w:rsidTr="0054562E">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604E35" w:rsidRDefault="00604E35" w:rsidP="00A2222B">
            <w:r>
              <w:t xml:space="preserve">vlajka 140x280 cm </w:t>
            </w:r>
            <w:proofErr w:type="spellStart"/>
            <w:r>
              <w:t>EuroOil</w:t>
            </w:r>
            <w:proofErr w:type="spellEnd"/>
            <w:r>
              <w:t xml:space="preserve">, podklad modrý odstín RAL 5017                          </w:t>
            </w:r>
          </w:p>
        </w:tc>
        <w:tc>
          <w:tcPr>
            <w:tcW w:w="1422" w:type="dxa"/>
            <w:tcBorders>
              <w:top w:val="nil"/>
              <w:left w:val="nil"/>
              <w:bottom w:val="single" w:sz="4" w:space="0" w:color="auto"/>
              <w:right w:val="single" w:sz="4" w:space="0" w:color="auto"/>
            </w:tcBorders>
            <w:shd w:val="clear" w:color="auto" w:fill="auto"/>
            <w:noWrap/>
            <w:vAlign w:val="bottom"/>
          </w:tcPr>
          <w:p w:rsidR="00604E35" w:rsidRPr="0036759D" w:rsidRDefault="00604E35" w:rsidP="00A2222B">
            <w:pPr>
              <w:spacing w:before="0"/>
              <w:jc w:val="center"/>
              <w:rPr>
                <w:rFonts w:cs="Arial"/>
              </w:rPr>
            </w:pPr>
            <w:r>
              <w:rPr>
                <w:rFonts w:cs="Arial"/>
              </w:rPr>
              <w:t>900</w:t>
            </w:r>
          </w:p>
        </w:tc>
        <w:tc>
          <w:tcPr>
            <w:tcW w:w="2232" w:type="dxa"/>
            <w:tcBorders>
              <w:top w:val="nil"/>
              <w:left w:val="nil"/>
              <w:bottom w:val="single" w:sz="4" w:space="0" w:color="auto"/>
              <w:right w:val="single" w:sz="4" w:space="0" w:color="auto"/>
            </w:tcBorders>
          </w:tcPr>
          <w:p w:rsidR="00604E35" w:rsidRPr="0036759D" w:rsidRDefault="00604E35" w:rsidP="007D0B56">
            <w:pPr>
              <w:spacing w:before="0"/>
              <w:jc w:val="left"/>
              <w:rPr>
                <w:rFonts w:cs="Arial"/>
              </w:rPr>
            </w:pPr>
          </w:p>
        </w:tc>
        <w:tc>
          <w:tcPr>
            <w:tcW w:w="1807" w:type="dxa"/>
            <w:tcBorders>
              <w:top w:val="nil"/>
              <w:left w:val="nil"/>
              <w:bottom w:val="single" w:sz="4" w:space="0" w:color="auto"/>
              <w:right w:val="single" w:sz="4" w:space="0" w:color="auto"/>
            </w:tcBorders>
          </w:tcPr>
          <w:p w:rsidR="00604E35" w:rsidRPr="0036759D" w:rsidRDefault="00604E35" w:rsidP="007D0B56">
            <w:pPr>
              <w:spacing w:before="0"/>
              <w:jc w:val="left"/>
              <w:rPr>
                <w:rFonts w:cs="Arial"/>
              </w:rPr>
            </w:pPr>
          </w:p>
        </w:tc>
      </w:tr>
      <w:tr w:rsidR="0054562E" w:rsidRPr="0036759D" w:rsidTr="00372D03">
        <w:trPr>
          <w:trHeight w:val="255"/>
        </w:trPr>
        <w:tc>
          <w:tcPr>
            <w:tcW w:w="3980" w:type="dxa"/>
            <w:tcBorders>
              <w:top w:val="nil"/>
              <w:left w:val="single" w:sz="4" w:space="0" w:color="auto"/>
              <w:bottom w:val="single" w:sz="4" w:space="0" w:color="auto"/>
              <w:right w:val="single" w:sz="4" w:space="0" w:color="auto"/>
            </w:tcBorders>
            <w:shd w:val="clear" w:color="auto" w:fill="auto"/>
            <w:noWrap/>
            <w:vAlign w:val="bottom"/>
          </w:tcPr>
          <w:p w:rsidR="0054562E" w:rsidRPr="0036759D" w:rsidRDefault="0054562E" w:rsidP="007D0B56">
            <w:pPr>
              <w:spacing w:before="0"/>
              <w:jc w:val="left"/>
              <w:rPr>
                <w:rFonts w:cs="Arial"/>
              </w:rPr>
            </w:pPr>
            <w:r>
              <w:rPr>
                <w:rFonts w:cs="Arial"/>
              </w:rPr>
              <w:t>CENA CELKEM</w:t>
            </w:r>
          </w:p>
        </w:tc>
        <w:tc>
          <w:tcPr>
            <w:tcW w:w="1422" w:type="dxa"/>
            <w:tcBorders>
              <w:top w:val="nil"/>
              <w:left w:val="nil"/>
              <w:bottom w:val="single" w:sz="4" w:space="0" w:color="auto"/>
              <w:right w:val="single" w:sz="4" w:space="0" w:color="auto"/>
            </w:tcBorders>
            <w:shd w:val="clear" w:color="auto" w:fill="auto"/>
            <w:noWrap/>
            <w:vAlign w:val="bottom"/>
          </w:tcPr>
          <w:p w:rsidR="0054562E" w:rsidRPr="0036759D" w:rsidRDefault="0054562E" w:rsidP="007D0B56">
            <w:pPr>
              <w:spacing w:before="0"/>
              <w:jc w:val="left"/>
              <w:rPr>
                <w:rFonts w:cs="Arial"/>
              </w:rPr>
            </w:pPr>
            <w:r w:rsidRPr="0036759D">
              <w:rPr>
                <w:rFonts w:cs="Arial"/>
              </w:rPr>
              <w:t> </w:t>
            </w:r>
          </w:p>
        </w:tc>
        <w:tc>
          <w:tcPr>
            <w:tcW w:w="2232" w:type="dxa"/>
            <w:tcBorders>
              <w:top w:val="nil"/>
              <w:left w:val="nil"/>
              <w:bottom w:val="single" w:sz="4" w:space="0" w:color="auto"/>
              <w:right w:val="single" w:sz="4" w:space="0" w:color="auto"/>
            </w:tcBorders>
          </w:tcPr>
          <w:p w:rsidR="0054562E" w:rsidRPr="0036759D" w:rsidRDefault="0054562E" w:rsidP="007D0B56">
            <w:pPr>
              <w:spacing w:before="0"/>
              <w:jc w:val="left"/>
              <w:rPr>
                <w:rFonts w:cs="Arial"/>
              </w:rPr>
            </w:pPr>
          </w:p>
        </w:tc>
        <w:tc>
          <w:tcPr>
            <w:tcW w:w="1807" w:type="dxa"/>
            <w:tcBorders>
              <w:top w:val="nil"/>
              <w:left w:val="nil"/>
              <w:bottom w:val="single" w:sz="4" w:space="0" w:color="auto"/>
              <w:right w:val="single" w:sz="4" w:space="0" w:color="auto"/>
            </w:tcBorders>
            <w:shd w:val="clear" w:color="auto" w:fill="FFFF00"/>
          </w:tcPr>
          <w:p w:rsidR="0054562E" w:rsidRPr="0036759D" w:rsidRDefault="0054562E" w:rsidP="007D0B56">
            <w:pPr>
              <w:spacing w:before="0"/>
              <w:jc w:val="left"/>
              <w:rPr>
                <w:rFonts w:cs="Arial"/>
              </w:rPr>
            </w:pPr>
          </w:p>
        </w:tc>
      </w:tr>
    </w:tbl>
    <w:p w:rsidR="00C6670B" w:rsidRDefault="00C6670B" w:rsidP="00AF26B7"/>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D36C90" w:rsidP="00CC362D">
      <w:r>
        <w:t>Výběrové</w:t>
      </w:r>
      <w:r w:rsidR="00CC362D">
        <w:t xml:space="preserve"> 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607F27" w:rsidRDefault="00607F27" w:rsidP="00607F27">
      <w:r w:rsidRPr="00607F27">
        <w:t xml:space="preserve">Nabídky budou vyhodnoceny podle základního hodnotícího kritéria ekonomická výhodnost ve struktuře dílčích hodnotících kritérií: </w:t>
      </w:r>
    </w:p>
    <w:p w:rsidR="00C223A3" w:rsidRPr="00607F27" w:rsidRDefault="00C223A3" w:rsidP="00607F27"/>
    <w:tbl>
      <w:tblPr>
        <w:tblW w:w="5402" w:type="dxa"/>
        <w:tblInd w:w="55" w:type="dxa"/>
        <w:tblCellMar>
          <w:left w:w="70" w:type="dxa"/>
          <w:right w:w="70" w:type="dxa"/>
        </w:tblCellMar>
        <w:tblLook w:val="04A0" w:firstRow="1" w:lastRow="0" w:firstColumn="1" w:lastColumn="0" w:noHBand="0" w:noVBand="1"/>
      </w:tblPr>
      <w:tblGrid>
        <w:gridCol w:w="3160"/>
        <w:gridCol w:w="2242"/>
      </w:tblGrid>
      <w:tr w:rsidR="00607F27" w:rsidRPr="00CE495F" w:rsidTr="009D56C7">
        <w:trPr>
          <w:trHeight w:val="300"/>
        </w:trPr>
        <w:tc>
          <w:tcPr>
            <w:tcW w:w="3160" w:type="dxa"/>
            <w:tcBorders>
              <w:top w:val="single" w:sz="4" w:space="0" w:color="auto"/>
              <w:left w:val="single" w:sz="4" w:space="0" w:color="auto"/>
              <w:bottom w:val="single" w:sz="4" w:space="0" w:color="auto"/>
              <w:right w:val="single" w:sz="4" w:space="0" w:color="auto"/>
            </w:tcBorders>
            <w:shd w:val="clear" w:color="000000" w:fill="FFFF00"/>
            <w:noWrap/>
            <w:vAlign w:val="bottom"/>
            <w:hideMark/>
          </w:tcPr>
          <w:p w:rsidR="00607F27" w:rsidRPr="00607F27" w:rsidRDefault="00607F27" w:rsidP="009D56C7">
            <w:r w:rsidRPr="00607F27">
              <w:t>Kritérium</w:t>
            </w:r>
          </w:p>
        </w:tc>
        <w:tc>
          <w:tcPr>
            <w:tcW w:w="2242" w:type="dxa"/>
            <w:tcBorders>
              <w:top w:val="single" w:sz="4" w:space="0" w:color="auto"/>
              <w:left w:val="nil"/>
              <w:bottom w:val="single" w:sz="4" w:space="0" w:color="auto"/>
              <w:right w:val="single" w:sz="4" w:space="0" w:color="auto"/>
            </w:tcBorders>
            <w:shd w:val="clear" w:color="000000" w:fill="FFFF00"/>
            <w:noWrap/>
            <w:vAlign w:val="bottom"/>
          </w:tcPr>
          <w:p w:rsidR="00607F27" w:rsidRPr="00607F27" w:rsidRDefault="00607F27" w:rsidP="009D56C7">
            <w:r w:rsidRPr="00607F27">
              <w:t>Váha kritéria</w:t>
            </w:r>
          </w:p>
        </w:tc>
      </w:tr>
      <w:tr w:rsidR="00607F27" w:rsidRPr="00CE495F" w:rsidTr="009D56C7">
        <w:trPr>
          <w:trHeight w:val="840"/>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607F27" w:rsidRPr="00607F27" w:rsidRDefault="00607F27" w:rsidP="009D56C7">
            <w:r w:rsidRPr="00607F27">
              <w:t>Cena</w:t>
            </w:r>
          </w:p>
          <w:p w:rsidR="00607F27" w:rsidRPr="00607F27" w:rsidRDefault="00607F27" w:rsidP="009D56C7"/>
        </w:tc>
        <w:tc>
          <w:tcPr>
            <w:tcW w:w="2242" w:type="dxa"/>
            <w:tcBorders>
              <w:top w:val="nil"/>
              <w:left w:val="nil"/>
              <w:bottom w:val="single" w:sz="4" w:space="0" w:color="auto"/>
              <w:right w:val="single" w:sz="4" w:space="0" w:color="auto"/>
            </w:tcBorders>
            <w:shd w:val="clear" w:color="auto" w:fill="auto"/>
            <w:noWrap/>
            <w:vAlign w:val="bottom"/>
            <w:hideMark/>
          </w:tcPr>
          <w:p w:rsidR="00607F27" w:rsidRPr="00607F27" w:rsidRDefault="00607F27" w:rsidP="00607F27">
            <w:r w:rsidRPr="00607F27">
              <w:t>70 %</w:t>
            </w:r>
          </w:p>
        </w:tc>
      </w:tr>
      <w:tr w:rsidR="00607F27" w:rsidRPr="00CE495F" w:rsidTr="009D56C7">
        <w:trPr>
          <w:trHeight w:val="840"/>
        </w:trPr>
        <w:tc>
          <w:tcPr>
            <w:tcW w:w="3160" w:type="dxa"/>
            <w:tcBorders>
              <w:top w:val="nil"/>
              <w:left w:val="single" w:sz="4" w:space="0" w:color="auto"/>
              <w:bottom w:val="single" w:sz="4" w:space="0" w:color="auto"/>
              <w:right w:val="single" w:sz="4" w:space="0" w:color="auto"/>
            </w:tcBorders>
            <w:shd w:val="clear" w:color="auto" w:fill="auto"/>
            <w:vAlign w:val="bottom"/>
            <w:hideMark/>
          </w:tcPr>
          <w:p w:rsidR="00607F27" w:rsidRPr="00607F27" w:rsidRDefault="00607F27" w:rsidP="00D062A9">
            <w:r w:rsidRPr="00607F27">
              <w:t>Vlajkovina (nejlépe bude hodnocen materiál a jeho zpracování, kde se dá nejvíce předpokládat splnění požadavků</w:t>
            </w:r>
            <w:r w:rsidR="00D062A9">
              <w:t xml:space="preserve"> zadavatele</w:t>
            </w:r>
            <w:r w:rsidRPr="00607F27">
              <w:t>)</w:t>
            </w:r>
          </w:p>
        </w:tc>
        <w:tc>
          <w:tcPr>
            <w:tcW w:w="2242" w:type="dxa"/>
            <w:tcBorders>
              <w:top w:val="nil"/>
              <w:left w:val="nil"/>
              <w:bottom w:val="single" w:sz="4" w:space="0" w:color="auto"/>
              <w:right w:val="single" w:sz="4" w:space="0" w:color="auto"/>
            </w:tcBorders>
            <w:shd w:val="clear" w:color="auto" w:fill="auto"/>
            <w:noWrap/>
            <w:vAlign w:val="bottom"/>
            <w:hideMark/>
          </w:tcPr>
          <w:p w:rsidR="00607F27" w:rsidRPr="00607F27" w:rsidRDefault="00607F27" w:rsidP="00607F27">
            <w:r w:rsidRPr="00607F27">
              <w:t>30 %</w:t>
            </w:r>
          </w:p>
        </w:tc>
      </w:tr>
    </w:tbl>
    <w:p w:rsidR="00607F27" w:rsidRDefault="00607F27" w:rsidP="00AF26B7"/>
    <w:p w:rsidR="00AF26B7" w:rsidRDefault="00AF26B7" w:rsidP="00AF26B7">
      <w:r>
        <w:t>Hodnotícím kritériem je splnění podmínek zadávací dokumentace a dále nejnižší celková nabídková cena, nabídnutá uchazečem. Nabídková cena bude vždy stanovena v Kč bez DPH dle článku 4 této zadávací dokumentace.</w:t>
      </w:r>
    </w:p>
    <w:p w:rsidR="00A6737F" w:rsidRDefault="00A6737F" w:rsidP="00A6737F">
      <w:r>
        <w:lastRenderedPageBreak/>
        <w:t xml:space="preserve">Pro hodnocení nabídek se použije v každém kritériu bodovací stupnice v rozsahu 0 až 100. Každé předložené nabídce bude dle dílčího kritéria přidělena bodová hodnota, která odráží úspěšnost předmětné nabídky v rámci dílčího kritéria. </w:t>
      </w:r>
    </w:p>
    <w:p w:rsidR="00A6737F" w:rsidRDefault="00A6737F" w:rsidP="00A6737F">
      <w:r>
        <w:t xml:space="preserve">Nejvhodnější nabídce bude přiřazeno 100 bodů a každé následující nabídce se přiřadí takové </w:t>
      </w:r>
      <w:proofErr w:type="gramStart"/>
      <w:r>
        <w:t>bodové  ohodnocení</w:t>
      </w:r>
      <w:proofErr w:type="gramEnd"/>
      <w:r>
        <w:t xml:space="preserve">, které bude vyjadřovat míru splnění každého dílčího kritéria ve vztahu k nejvhodnější nabídce. </w:t>
      </w:r>
    </w:p>
    <w:p w:rsidR="00A6737F" w:rsidRDefault="00A6737F" w:rsidP="00A6737F">
      <w:r>
        <w:t>Pro číselně vyjádřitelné kritérium, tedy pro nabídkovou cenu, bude bodová hodnota následujících nabídek vypočtena na základě tohoto vzorce:</w:t>
      </w:r>
    </w:p>
    <w:p w:rsidR="00A6737F" w:rsidRDefault="00A6737F" w:rsidP="00A6737F">
      <w:r>
        <w:t xml:space="preserve">nejvhodnější </w:t>
      </w:r>
      <w:proofErr w:type="gramStart"/>
      <w:r>
        <w:t>nabídka : hodnocená</w:t>
      </w:r>
      <w:proofErr w:type="gramEnd"/>
      <w:r>
        <w:t xml:space="preserve"> nabídka x 100</w:t>
      </w:r>
    </w:p>
    <w:p w:rsidR="00A6737F" w:rsidRDefault="00A6737F" w:rsidP="00A6737F">
      <w:r>
        <w:t>Výsledná hodnota bodového hodnocení vznikne tak, že jednotlivá bodová ohodnocení nabídek dle dílčích kritérií se vynásobí příslušnou vahou daného kritéria. Na základě součtu výsledných hodnot dílčích kritérií všech nabídek, bude sestaveno pořadí úspěšnosti jednotlivých nabídek tak, že jako nejúspěšnější je stanovena nabídka, která dosáhla v součtu nejvyšší bodovou hodnotu.</w:t>
      </w:r>
    </w:p>
    <w:p w:rsidR="00AF26B7" w:rsidRDefault="00AF26B7" w:rsidP="00AF26B7">
      <w:r>
        <w:t>Hodnocení nabídek bude probíhat dle níže uvedených pravidel.</w:t>
      </w:r>
    </w:p>
    <w:p w:rsidR="00AF26B7" w:rsidRDefault="00AF26B7" w:rsidP="00AF26B7">
      <w:r>
        <w:t>Celkový počet hodnotících kol není omezen.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393345">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AF5BA7"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393345" w:rsidRDefault="00393345" w:rsidP="00AF26B7">
      <w:r>
        <w:t>Hodnocení na</w:t>
      </w:r>
      <w:r w:rsidR="002A6FD4">
        <w:t>bídek může být taktéž provedeno</w:t>
      </w:r>
      <w:r>
        <w:t xml:space="preserve"> formou elektronické aukce. V takovém případě budou uchazeči o této skutečnosti informováni výzvou, v které bude stanoveno datum konání elektronické aukce a její pravidla</w:t>
      </w:r>
      <w:r w:rsidR="00886378">
        <w:t>.</w:t>
      </w:r>
    </w:p>
    <w:p w:rsidR="00762AEB" w:rsidRDefault="00762AEB" w:rsidP="00762AEB">
      <w:r>
        <w:t>Uchazeč, který bude v posledním kole vyhodnocen jako vítězný, bude vyzván k uzavření smluvního vztahu. Neposkytne-li vítězný uchazeč dostatečnou součinnost k uzavření smluvního vztahu (akceptace objednávky), může zadavatel vyzvat k uzavření smluvního vztahu a k poskytnutí požadovaného plnění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Nabídku i doklady a informace k prokázání splnění kvalifikace je uchazeč povinen podat písemně v souladu se zadávacími podmínkami, a to včetně požadovaného řazení nabídky. 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AF26B7"/>
    <w:p w:rsidR="00AF26B7" w:rsidRDefault="00AF26B7" w:rsidP="00984EC2">
      <w:pPr>
        <w:pStyle w:val="02-ODST-2"/>
      </w:pPr>
      <w:r>
        <w:lastRenderedPageBreak/>
        <w:t>Uchazeč zpracuje svou nabídku způsobem níže uvedeným:</w:t>
      </w:r>
    </w:p>
    <w:p w:rsidR="00AF26B7" w:rsidRDefault="00AF26B7" w:rsidP="00984EC2">
      <w:pPr>
        <w:pStyle w:val="05-ODST-3"/>
      </w:pPr>
      <w:r>
        <w:t xml:space="preserve">Krycí list nabídky. Na krycím listu budou uvedeny zejména tyto údaje: název </w:t>
      </w:r>
      <w:r w:rsidR="00D36C90">
        <w:t>zakázky</w:t>
      </w:r>
      <w:r>
        <w:t xml:space="preserve">, základní identifikační údaje zadavatele a uchazeče (včetně osob zmocněných k dalším jednáním), datum a podpis osoby oprávněné jménem či za uchazeče jednat (vzor krycího listu je přílohou č. </w:t>
      </w:r>
      <w:r w:rsidR="003D0032">
        <w:t>1</w:t>
      </w:r>
      <w:r>
        <w:t>)</w:t>
      </w:r>
    </w:p>
    <w:p w:rsidR="00AF26B7" w:rsidRDefault="005F4953" w:rsidP="005F4953">
      <w:pPr>
        <w:pStyle w:val="05-ODST-3"/>
      </w:pPr>
      <w:r>
        <w:t>V</w:t>
      </w:r>
      <w:r w:rsidR="00AF26B7">
        <w:t>ýpis z obchodního rejstříku, pokud je v něm zapsán, či výpisem z jiné obdobné evidence, pokud je v ní zapsán, ne starší než 90 dnů k datu podání nabídky</w:t>
      </w:r>
    </w:p>
    <w:p w:rsidR="00AF26B7" w:rsidRDefault="005F4953" w:rsidP="005F4953">
      <w:pPr>
        <w:pStyle w:val="05-ODST-3"/>
      </w:pPr>
      <w:r>
        <w:t>D</w:t>
      </w:r>
      <w:r w:rsidR="00AF26B7">
        <w:t xml:space="preserve">oklad o oprávnění k podnikání v rozsahu odpovídajícím předmětu </w:t>
      </w:r>
      <w:r w:rsidR="00D36C90">
        <w:t>této</w:t>
      </w:r>
      <w:r w:rsidR="00B14991">
        <w:t xml:space="preserve"> </w:t>
      </w:r>
      <w:r w:rsidR="00AF26B7">
        <w:t>zakázky, zejména doklad prokazující příslušné živnostenské oprávnění či licenci.</w:t>
      </w:r>
    </w:p>
    <w:p w:rsidR="00AF26B7" w:rsidRDefault="00AF26B7" w:rsidP="004E65D5">
      <w:pPr>
        <w:pStyle w:val="05-ODST-3"/>
      </w:pPr>
      <w:r>
        <w:t xml:space="preserve">Cenová nabídka </w:t>
      </w:r>
      <w:r w:rsidR="00C160BB">
        <w:t>v </w:t>
      </w:r>
      <w:proofErr w:type="gramStart"/>
      <w:r w:rsidR="00C160BB">
        <w:t xml:space="preserve">členění </w:t>
      </w:r>
      <w:r>
        <w:t xml:space="preserve"> dle</w:t>
      </w:r>
      <w:proofErr w:type="gramEnd"/>
      <w:r>
        <w:t xml:space="preserve"> článku </w:t>
      </w:r>
      <w:r w:rsidR="005F4953">
        <w:t>4</w:t>
      </w:r>
      <w:r w:rsidR="00D36C90">
        <w:t xml:space="preserve"> zadávací dokumentace</w:t>
      </w:r>
    </w:p>
    <w:p w:rsidR="0094074D" w:rsidRDefault="0094074D" w:rsidP="0094074D">
      <w:pPr>
        <w:pStyle w:val="05-ODST-3"/>
      </w:pPr>
      <w:r>
        <w:t>Prohlášení, že uchazeč akceptuje podmínky zadavatele uvedené v této zadávací dokumentaci, jejích součástech a dokumentech, na které odkazuje (a zejména podmínky uvedené ve VOP)</w:t>
      </w:r>
    </w:p>
    <w:p w:rsidR="0094074D" w:rsidRDefault="0094074D" w:rsidP="0094074D">
      <w:pPr>
        <w:pStyle w:val="05-ODST-3"/>
      </w:pPr>
      <w:r>
        <w:t xml:space="preserve">Uchazeč předloží údaj, v jaké výši může poskytnout své služby k započtení náhradního plnění dle § 81 odst. 3 zákona č. 435/2004 Sb., o zaměstnanosti, v platném znění. V případě poskytnutí náhradního plnění bude tato skutečnost zahrnuta do objednávky a dodavatel zadavateli předloží veškeré s touto skutečností spojené </w:t>
      </w:r>
      <w:proofErr w:type="gramStart"/>
      <w:r>
        <w:t>doklady..</w:t>
      </w:r>
      <w:proofErr w:type="gramEnd"/>
    </w:p>
    <w:p w:rsidR="00AF26B7" w:rsidRDefault="00AF26B7" w:rsidP="004E65D5">
      <w:pPr>
        <w:pStyle w:val="05-ODST-3"/>
      </w:pPr>
      <w:r>
        <w:t>Ostatní doklady, podmínky a požadavky vyžadované zadavatelem, které se vztahují k předmětu zakázky.</w:t>
      </w:r>
    </w:p>
    <w:p w:rsidR="00AF26B7" w:rsidRDefault="00AF26B7" w:rsidP="001200CB">
      <w:pPr>
        <w:pStyle w:val="05-ODST-3"/>
        <w:numPr>
          <w:ilvl w:val="0"/>
          <w:numId w:val="0"/>
        </w:numPr>
        <w:ind w:left="1134"/>
      </w:pPr>
      <w:r>
        <w:t>Nabídka bude podepsána osobou (-</w:t>
      </w:r>
      <w:proofErr w:type="spellStart"/>
      <w:r>
        <w:t>ami</w:t>
      </w:r>
      <w:proofErr w:type="spellEnd"/>
      <w:r>
        <w:t>) oprávněnou (-</w:t>
      </w:r>
      <w:proofErr w:type="spellStart"/>
      <w:r>
        <w:t>nými</w:t>
      </w:r>
      <w:proofErr w:type="spellEnd"/>
      <w:r>
        <w:t xml:space="preserve">) jednat jménem dodavatele nebo za </w:t>
      </w:r>
      <w:proofErr w:type="gramStart"/>
      <w:r>
        <w:t>dodavatele..</w:t>
      </w:r>
      <w:proofErr w:type="gramEnd"/>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9E73B7">
        <w:t>výběrovému</w:t>
      </w:r>
      <w:r>
        <w:t xml:space="preserve"> řízení</w:t>
      </w:r>
    </w:p>
    <w:p w:rsidR="009F5316" w:rsidRDefault="009F5316" w:rsidP="009F5316">
      <w:pPr>
        <w:pStyle w:val="05-ODST-3"/>
      </w:pPr>
      <w:r>
        <w:t>Uchazeč může podat pouze jednu nabídku.</w:t>
      </w:r>
    </w:p>
    <w:p w:rsidR="009F5316" w:rsidRDefault="009F5316" w:rsidP="009F5316">
      <w:pPr>
        <w:pStyle w:val="05-ODST-3"/>
      </w:pPr>
      <w:r>
        <w:t>Zadavatel nepřipouští řešení jinou variantou, než je uvedeno v zadávací dokumentaci. Žádná osoba (dodavatel) se nesmí zúčastnit tohoto výběrového řízení jako uchazeč více než jednou.</w:t>
      </w:r>
    </w:p>
    <w:p w:rsidR="009F5316" w:rsidRDefault="009F5316" w:rsidP="009F5316">
      <w:pPr>
        <w:pStyle w:val="05-ODST-3"/>
      </w:pPr>
      <w:r>
        <w:t>Náklady uchazečů spojené s účastí ve výběrovém řízení zadavatel nehradí.</w:t>
      </w:r>
    </w:p>
    <w:p w:rsidR="009F5316" w:rsidRDefault="009F5316" w:rsidP="009F5316">
      <w:pPr>
        <w:pStyle w:val="05-ODST-3"/>
      </w:pPr>
      <w:r>
        <w:t xml:space="preserve">Zadavatel si nevyhrazuje právo požadovat úhradu nákladů souvisejících s poskytnutím zadávací dokumentace. </w:t>
      </w:r>
    </w:p>
    <w:p w:rsidR="009F5316" w:rsidRDefault="009F5316" w:rsidP="009F5316">
      <w:pPr>
        <w:pStyle w:val="05-ODST-3"/>
      </w:pPr>
      <w:r>
        <w:t>Nabídky nebudou uchazečům vráceny a zůstávají majetkem zadavatele.</w:t>
      </w:r>
    </w:p>
    <w:p w:rsidR="009F5316" w:rsidRDefault="009F5316" w:rsidP="009F5316">
      <w:pPr>
        <w:pStyle w:val="05-ODST-3"/>
      </w:pPr>
      <w:r>
        <w:t>Nabídky, které budou doručeny po uplynutí lhůty pro podání nabídek, zadavatel nebude otevírat, a tedy ani posuzovat a hodnotit.</w:t>
      </w:r>
    </w:p>
    <w:p w:rsidR="009F5316" w:rsidRDefault="009F5316" w:rsidP="009F5316">
      <w:pPr>
        <w:pStyle w:val="05-ODST-3"/>
      </w:pPr>
      <w:r>
        <w:t>Pokud nabídka nebude úplná nebo v ní nebudou obsaženy veškeré doklady a informace stanovené touto zadávací dokumentací, vyhrazuje si zadavatel právo nabídku vyřadit.</w:t>
      </w:r>
    </w:p>
    <w:p w:rsidR="009F5316" w:rsidRDefault="009F5316" w:rsidP="009F5316">
      <w:pPr>
        <w:pStyle w:val="05-ODST-3"/>
      </w:pPr>
      <w:r>
        <w:t>Zadavatel si vyhrazuje právo před rozhodnutím o výběru nejvhodnější nabídky ověřit, případně vyjasnit informace deklarované uchazeči v nabídce.</w:t>
      </w:r>
    </w:p>
    <w:p w:rsidR="009F5316" w:rsidRDefault="009F5316" w:rsidP="009F5316">
      <w:pPr>
        <w:pStyle w:val="05-ODST-3"/>
      </w:pPr>
      <w:r>
        <w:t>Zadavatel si vyhrazuje právo v rámci výběrového řízení jednat o všech částech nabídky uchazeče.</w:t>
      </w:r>
    </w:p>
    <w:p w:rsidR="009F5316" w:rsidRDefault="009F5316" w:rsidP="009F5316">
      <w:pPr>
        <w:pStyle w:val="05-ODST-3"/>
      </w:pPr>
      <w:r>
        <w:t>Jednání o nabídkách v rámci výběrového řízení je vedeno písemně prostřednictvím elektronické pošty. Zadavatel si vyhrazuje právo pozvat uchazeče k osobnímu jednání o nabídkách.</w:t>
      </w:r>
    </w:p>
    <w:p w:rsidR="009F5316" w:rsidRDefault="009F5316" w:rsidP="009F5316">
      <w:pPr>
        <w:pStyle w:val="05-ODST-3"/>
      </w:pPr>
      <w:r>
        <w:t xml:space="preserve">Komunikačním jazykem pro veškerá jednání v rámci výběrového řízení je stanovena čeština, nepřipustí-li zadavatel výslovně jinak. </w:t>
      </w:r>
    </w:p>
    <w:p w:rsidR="009F5316" w:rsidRDefault="009F5316" w:rsidP="009F5316">
      <w:pPr>
        <w:pStyle w:val="05-ODST-3"/>
      </w:pPr>
      <w:r>
        <w:t>Zadavatel si vyhrazuje právo změny podmínek uvedených v této zadávací dokumentaci.</w:t>
      </w:r>
    </w:p>
    <w:p w:rsidR="009F5316" w:rsidRDefault="009F5316" w:rsidP="009F5316">
      <w:pPr>
        <w:pStyle w:val="05-ODST-3"/>
      </w:pPr>
      <w:r>
        <w:lastRenderedPageBreak/>
        <w:t>Zadavatel si vyhrazuje právo kdykoliv v průběhu řízení toto řízení ukončit a zrušit bez udání důvodu, odmítnout všechny nabídky a neuzavřít smlouvu s žádným z uchazečů.</w:t>
      </w:r>
    </w:p>
    <w:p w:rsidR="009F5316" w:rsidRDefault="009F5316" w:rsidP="009F5316">
      <w:pPr>
        <w:pStyle w:val="05-ODST-3"/>
      </w:pPr>
      <w:r w:rsidRPr="0076594C">
        <w:t>Zadavatel oznámí výběr nejvhodnější nabídky všem uchazečům, kteří podali nabídku. Zadavatel výslovně stanoví, že přijetím nabídky a obdržením rozhodnutí o výběru nejvhodnější nabídky nedochází k uzavření smlouvy</w:t>
      </w:r>
      <w:r>
        <w:t>.</w:t>
      </w:r>
    </w:p>
    <w:p w:rsidR="009F5316" w:rsidRDefault="009F5316" w:rsidP="009F5316">
      <w:pPr>
        <w:pStyle w:val="05-ODST-3"/>
      </w:pPr>
      <w:r w:rsidRPr="0076594C">
        <w:t xml:space="preserve">V souladu s </w:t>
      </w:r>
      <w:proofErr w:type="spellStart"/>
      <w:r w:rsidRPr="0076594C">
        <w:t>ust</w:t>
      </w:r>
      <w:proofErr w:type="spellEnd"/>
      <w:r w:rsidRPr="0076594C">
        <w:t>. § 1740 odst. 3 poslední věta zákona č. 89/2012 Sb., občanský zákoník, v platném znění</w:t>
      </w:r>
      <w:r>
        <w:t>,</w:t>
      </w:r>
      <w:r w:rsidRPr="0076594C">
        <w:t xml:space="preserve"> platí, že předložení </w:t>
      </w:r>
      <w:r>
        <w:t xml:space="preserve">akceptace objednávky zadavatele </w:t>
      </w:r>
      <w:r w:rsidRPr="0076594C">
        <w:t>ze strany uchazeče</w:t>
      </w:r>
      <w:r>
        <w:t xml:space="preserve"> </w:t>
      </w:r>
      <w:r w:rsidRPr="0076594C">
        <w:t xml:space="preserve">s dodatkem nebo odchylkou oproti </w:t>
      </w:r>
      <w:r>
        <w:t xml:space="preserve">znění zasílanému zadavatelem dodavateli </w:t>
      </w:r>
      <w:r w:rsidRPr="0076594C">
        <w:t>nezakládá povinnost zadavatele takovou odchylku nebo dodatek akceptovat</w:t>
      </w:r>
      <w:r>
        <w:t>.</w:t>
      </w:r>
    </w:p>
    <w:p w:rsidR="00AF26B7" w:rsidRDefault="009E73B7" w:rsidP="00DC63ED">
      <w:pPr>
        <w:pStyle w:val="01-L"/>
      </w:pPr>
      <w:r>
        <w:t>Výběrové</w:t>
      </w:r>
      <w:r w:rsidR="00AF26B7">
        <w:t xml:space="preserve"> řízení</w:t>
      </w:r>
    </w:p>
    <w:p w:rsidR="003838BA" w:rsidRDefault="003838BA" w:rsidP="003838BA">
      <w:pPr>
        <w:rPr>
          <w:rFonts w:cs="Calibri"/>
          <w:color w:val="000000"/>
        </w:rPr>
      </w:pPr>
      <w:r w:rsidRPr="00A4430E">
        <w:rPr>
          <w:rFonts w:cs="Calibri"/>
          <w:color w:val="000000"/>
        </w:rPr>
        <w:t xml:space="preserve">Nabídka bude podána písemně </w:t>
      </w:r>
      <w:r>
        <w:rPr>
          <w:rFonts w:cs="Calibri"/>
          <w:color w:val="000000"/>
        </w:rPr>
        <w:t xml:space="preserve">výlučně </w:t>
      </w:r>
      <w:r w:rsidRPr="00A4430E">
        <w:rPr>
          <w:rFonts w:cs="Calibri"/>
          <w:color w:val="000000"/>
        </w:rPr>
        <w:t>v elektronické verzi prostřed</w:t>
      </w:r>
      <w:r>
        <w:rPr>
          <w:rFonts w:cs="Calibri"/>
          <w:color w:val="000000"/>
        </w:rPr>
        <w:t>nictvím elektronického nástroje (vzorky vlajkoviny budou do termínu podávání nabídek doručeny na adresu sídla zadavatele).</w:t>
      </w:r>
    </w:p>
    <w:p w:rsidR="003838BA" w:rsidRPr="00A4430E" w:rsidRDefault="003838BA" w:rsidP="003838BA">
      <w:pPr>
        <w:rPr>
          <w:rFonts w:cs="Calibri"/>
          <w:color w:val="000000"/>
        </w:rPr>
      </w:pPr>
      <w:r w:rsidRPr="00A4430E">
        <w:rPr>
          <w:rFonts w:cs="Calibri"/>
          <w:color w:val="000000"/>
        </w:rPr>
        <w:t>Nabídka v elektronické podobě bude podána prostřednictvím profilu zadavatele na adrese https://www.softender.cz/home/profil/992824 a bude označena názvem zakázky „</w:t>
      </w:r>
      <w:r w:rsidR="00A97862" w:rsidRPr="00DB3A28">
        <w:t xml:space="preserve">Vlajky pro ČS </w:t>
      </w:r>
      <w:proofErr w:type="spellStart"/>
      <w:r w:rsidR="00A97862" w:rsidRPr="00DB3A28">
        <w:t>EuroOil</w:t>
      </w:r>
      <w:proofErr w:type="spellEnd"/>
      <w:r w:rsidRPr="00A4430E">
        <w:rPr>
          <w:rFonts w:cs="Calibri"/>
          <w:color w:val="000000"/>
        </w:rPr>
        <w:t xml:space="preserve">„ a </w:t>
      </w:r>
      <w:proofErr w:type="spellStart"/>
      <w:r w:rsidRPr="00A4430E">
        <w:rPr>
          <w:rFonts w:cs="Calibri"/>
          <w:color w:val="000000"/>
        </w:rPr>
        <w:t>evid</w:t>
      </w:r>
      <w:proofErr w:type="spellEnd"/>
      <w:r w:rsidRPr="00A4430E">
        <w:rPr>
          <w:rFonts w:cs="Calibri"/>
          <w:color w:val="000000"/>
        </w:rPr>
        <w:t xml:space="preserve">. č. </w:t>
      </w:r>
      <w:r>
        <w:rPr>
          <w:rFonts w:cs="Calibri"/>
          <w:color w:val="000000"/>
        </w:rPr>
        <w:t>015</w:t>
      </w:r>
      <w:r w:rsidRPr="00A4430E">
        <w:rPr>
          <w:rFonts w:cs="Calibri"/>
          <w:color w:val="000000"/>
        </w:rPr>
        <w:t>/1</w:t>
      </w:r>
      <w:r>
        <w:rPr>
          <w:rFonts w:cs="Calibri"/>
          <w:color w:val="000000"/>
        </w:rPr>
        <w:t>6</w:t>
      </w:r>
      <w:r w:rsidRPr="00A4430E">
        <w:rPr>
          <w:rFonts w:cs="Calibri"/>
          <w:color w:val="000000"/>
        </w:rPr>
        <w:t>/OCN.</w:t>
      </w:r>
    </w:p>
    <w:p w:rsidR="003838BA" w:rsidRPr="00A4430E" w:rsidRDefault="003838BA" w:rsidP="003838BA">
      <w:pPr>
        <w:rPr>
          <w:rFonts w:cs="Calibri"/>
          <w:color w:val="000000"/>
        </w:rPr>
      </w:pPr>
    </w:p>
    <w:p w:rsidR="003838BA" w:rsidRPr="00A4430E" w:rsidRDefault="003838BA" w:rsidP="003838BA">
      <w:pPr>
        <w:jc w:val="center"/>
        <w:rPr>
          <w:rFonts w:cs="Calibri"/>
          <w:color w:val="000000"/>
        </w:rPr>
      </w:pPr>
      <w:r w:rsidRPr="00A4430E">
        <w:rPr>
          <w:rFonts w:cs="Calibri"/>
          <w:color w:val="000000"/>
        </w:rPr>
        <w:t>Nabídka v elektronické verzi musí být dodavatelem podána</w:t>
      </w:r>
    </w:p>
    <w:p w:rsidR="003838BA" w:rsidRPr="00CE68F6" w:rsidRDefault="003838BA" w:rsidP="003838BA">
      <w:pPr>
        <w:jc w:val="center"/>
        <w:rPr>
          <w:rFonts w:cs="Calibri"/>
          <w:color w:val="000000"/>
        </w:rPr>
      </w:pPr>
      <w:r w:rsidRPr="00A4430E">
        <w:rPr>
          <w:rFonts w:cs="Calibri"/>
          <w:color w:val="000000"/>
        </w:rPr>
        <w:t>ve lhůtě nejpozději</w:t>
      </w:r>
    </w:p>
    <w:p w:rsidR="003838BA" w:rsidRPr="00CE68F6" w:rsidRDefault="003838BA" w:rsidP="003838BA">
      <w:pPr>
        <w:rPr>
          <w:rFonts w:cs="Calibri"/>
          <w:color w:val="000000"/>
        </w:rPr>
      </w:pPr>
    </w:p>
    <w:p w:rsidR="003838BA" w:rsidRPr="00CE68F6" w:rsidRDefault="003838BA" w:rsidP="003838BA">
      <w:pPr>
        <w:jc w:val="center"/>
        <w:rPr>
          <w:rFonts w:cs="Calibri"/>
          <w:b/>
          <w:color w:val="000000"/>
          <w:u w:val="single"/>
        </w:rPr>
      </w:pPr>
      <w:r w:rsidRPr="00CE68F6">
        <w:rPr>
          <w:rFonts w:cs="Calibri"/>
          <w:b/>
          <w:color w:val="000000"/>
          <w:u w:val="single"/>
        </w:rPr>
        <w:t>Do</w:t>
      </w:r>
      <w:r>
        <w:rPr>
          <w:rFonts w:cs="Calibri"/>
          <w:b/>
          <w:color w:val="000000"/>
          <w:u w:val="single"/>
        </w:rPr>
        <w:t xml:space="preserve"> </w:t>
      </w:r>
      <w:r w:rsidR="00B4170C">
        <w:rPr>
          <w:rFonts w:cs="Calibri"/>
          <w:b/>
          <w:color w:val="000000"/>
          <w:u w:val="single"/>
        </w:rPr>
        <w:t>22. 2</w:t>
      </w:r>
      <w:r w:rsidR="00A472DA">
        <w:rPr>
          <w:rFonts w:cs="Calibri"/>
          <w:b/>
          <w:color w:val="000000"/>
          <w:u w:val="single"/>
        </w:rPr>
        <w:t>.</w:t>
      </w:r>
      <w:r w:rsidR="00B4170C">
        <w:rPr>
          <w:rFonts w:cs="Calibri"/>
          <w:b/>
          <w:color w:val="000000"/>
          <w:u w:val="single"/>
        </w:rPr>
        <w:t xml:space="preserve"> </w:t>
      </w:r>
      <w:bookmarkStart w:id="0" w:name="_GoBack"/>
      <w:bookmarkEnd w:id="0"/>
      <w:r>
        <w:rPr>
          <w:rFonts w:cs="Calibri"/>
          <w:b/>
          <w:color w:val="000000"/>
          <w:u w:val="single"/>
        </w:rPr>
        <w:t xml:space="preserve">2016 </w:t>
      </w:r>
      <w:r w:rsidRPr="00CE68F6">
        <w:rPr>
          <w:rFonts w:cs="Calibri"/>
          <w:b/>
          <w:color w:val="000000"/>
          <w:u w:val="single"/>
        </w:rPr>
        <w:t>do 10 hodin.</w:t>
      </w:r>
    </w:p>
    <w:p w:rsidR="003838BA" w:rsidRPr="00554235" w:rsidRDefault="003838BA" w:rsidP="003838BA">
      <w:pPr>
        <w:jc w:val="center"/>
        <w:rPr>
          <w:rFonts w:cs="Calibri"/>
          <w:b/>
          <w:color w:val="000000"/>
          <w:sz w:val="24"/>
          <w:szCs w:val="24"/>
          <w:u w:val="single"/>
        </w:rPr>
      </w:pPr>
    </w:p>
    <w:p w:rsidR="00AF26B7" w:rsidRDefault="00AF26B7" w:rsidP="00AF26B7"/>
    <w:p w:rsidR="00AF26B7" w:rsidRPr="00785C89" w:rsidRDefault="00AF26B7" w:rsidP="00785C89">
      <w:pPr>
        <w:pStyle w:val="02-ODST-2"/>
        <w:rPr>
          <w:b/>
        </w:rPr>
      </w:pPr>
      <w:r w:rsidRPr="00785C89">
        <w:rPr>
          <w:b/>
        </w:rPr>
        <w:t>Zadávací lhůta</w:t>
      </w:r>
    </w:p>
    <w:p w:rsidR="00AF26B7" w:rsidRDefault="00AF26B7" w:rsidP="00AF26B7">
      <w:r>
        <w:t>Zadávací lhůta</w:t>
      </w:r>
      <w:r w:rsidR="00B121EC">
        <w:t>, po kterou jsou uchazeči svými předloženými nabídkami vázáni,</w:t>
      </w:r>
      <w:r>
        <w:t xml:space="preserve"> se stanovuje ve lhůtě 90 dnů ode dne sko</w:t>
      </w:r>
      <w:r w:rsidR="009E73B7">
        <w:t>nčení lhůty pro podání nabídek.</w:t>
      </w:r>
    </w:p>
    <w:p w:rsidR="00AF26B7" w:rsidRDefault="00AF26B7" w:rsidP="00AF26B7"/>
    <w:p w:rsidR="00AF26B7" w:rsidRDefault="00AF26B7" w:rsidP="004131A1">
      <w:pPr>
        <w:pStyle w:val="01-L"/>
      </w:pPr>
      <w:r>
        <w:t>Přílohy</w:t>
      </w:r>
    </w:p>
    <w:p w:rsidR="00AF26B7" w:rsidRDefault="00AF26B7" w:rsidP="00AF26B7">
      <w:r>
        <w:t xml:space="preserve">Nedílnou součástí této zadávací dokumentace jsou tyto přílohy: </w:t>
      </w:r>
    </w:p>
    <w:p w:rsidR="00984EC2" w:rsidRDefault="00AF26B7" w:rsidP="00F71987">
      <w:r>
        <w:t xml:space="preserve">Příloha </w:t>
      </w:r>
      <w:proofErr w:type="gramStart"/>
      <w:r>
        <w:t xml:space="preserve">č. </w:t>
      </w:r>
      <w:r w:rsidR="00A472DA">
        <w:t>1</w:t>
      </w:r>
      <w:r>
        <w:t xml:space="preserve"> –</w:t>
      </w:r>
      <w:r w:rsidR="00792966">
        <w:t xml:space="preserve"> </w:t>
      </w:r>
      <w:r>
        <w:t xml:space="preserve"> </w:t>
      </w:r>
      <w:r w:rsidR="00984EC2">
        <w:t>Krycí</w:t>
      </w:r>
      <w:proofErr w:type="gramEnd"/>
      <w:r w:rsidR="00984EC2">
        <w:t xml:space="preserve"> list nabídky </w:t>
      </w:r>
    </w:p>
    <w:p w:rsidR="004A6493" w:rsidRDefault="004A6493" w:rsidP="00F71987">
      <w:r>
        <w:t xml:space="preserve">Příloha č. </w:t>
      </w:r>
      <w:r w:rsidR="00A472DA">
        <w:t xml:space="preserve">2 -  </w:t>
      </w:r>
      <w:r>
        <w:t>grafika vlajek</w:t>
      </w:r>
    </w:p>
    <w:p w:rsidR="00AF26B7" w:rsidRDefault="00AF26B7" w:rsidP="00AF26B7"/>
    <w:p w:rsidR="00A472DA" w:rsidRDefault="00792966" w:rsidP="00AF26B7">
      <w:r>
        <w:t xml:space="preserve">V Praze </w:t>
      </w:r>
      <w:proofErr w:type="gramStart"/>
      <w:r>
        <w:t xml:space="preserve">dne </w:t>
      </w:r>
      <w:r w:rsidR="00A472DA">
        <w:t xml:space="preserve"> </w:t>
      </w:r>
      <w:r w:rsidR="00025B72">
        <w:t>9. 2. 2016</w:t>
      </w:r>
      <w:proofErr w:type="gramEnd"/>
    </w:p>
    <w:p w:rsidR="00AF26B7" w:rsidRDefault="00AF26B7" w:rsidP="00AF26B7">
      <w:r>
        <w:t>Lenka Hošková</w:t>
      </w:r>
    </w:p>
    <w:p w:rsidR="00AF26B7" w:rsidRDefault="00AF26B7" w:rsidP="00AF26B7">
      <w:r>
        <w:t>Odbor centrálního nákupu, ČEPRO, a. s.</w:t>
      </w:r>
    </w:p>
    <w:sectPr w:rsidR="00AF26B7">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67A0" w:rsidRDefault="006A67A0">
      <w:r>
        <w:separator/>
      </w:r>
    </w:p>
  </w:endnote>
  <w:endnote w:type="continuationSeparator" w:id="0">
    <w:p w:rsidR="006A67A0" w:rsidRDefault="006A67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1CE99A7E" wp14:editId="48D89BC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B4170C">
      <w:rPr>
        <w:rStyle w:val="slostrnky"/>
        <w:noProof/>
      </w:rPr>
      <w:t>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B4170C">
      <w:rPr>
        <w:rStyle w:val="slostrnky"/>
        <w:noProof/>
      </w:rPr>
      <w:t>6</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67A0" w:rsidRDefault="006A67A0">
      <w:r>
        <w:separator/>
      </w:r>
    </w:p>
  </w:footnote>
  <w:footnote w:type="continuationSeparator" w:id="0">
    <w:p w:rsidR="006A67A0" w:rsidRDefault="006A67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84105"/>
    <w:multiLevelType w:val="hybridMultilevel"/>
    <w:tmpl w:val="522CB7CC"/>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nsid w:val="26EE2F26"/>
    <w:multiLevelType w:val="hybridMultilevel"/>
    <w:tmpl w:val="15EC6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B43C6B"/>
    <w:multiLevelType w:val="hybridMultilevel"/>
    <w:tmpl w:val="6A548938"/>
    <w:lvl w:ilvl="0" w:tplc="B2A62EBC">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42D23191"/>
    <w:multiLevelType w:val="hybridMultilevel"/>
    <w:tmpl w:val="8A985340"/>
    <w:lvl w:ilvl="0" w:tplc="0405000B">
      <w:start w:val="1"/>
      <w:numFmt w:val="bullet"/>
      <w:lvlText w:val=""/>
      <w:lvlJc w:val="left"/>
      <w:pPr>
        <w:ind w:left="1380" w:hanging="360"/>
      </w:pPr>
      <w:rPr>
        <w:rFonts w:ascii="Wingdings" w:hAnsi="Wingdings"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8">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D43593A"/>
    <w:multiLevelType w:val="hybridMultilevel"/>
    <w:tmpl w:val="E0085008"/>
    <w:lvl w:ilvl="0" w:tplc="D4A685BC">
      <w:start w:val="1"/>
      <w:numFmt w:val="lowerLetter"/>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10">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1">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3">
    <w:nsid w:val="57232FA4"/>
    <w:multiLevelType w:val="hybridMultilevel"/>
    <w:tmpl w:val="E82EDF20"/>
    <w:lvl w:ilvl="0" w:tplc="A0D0FC70">
      <w:start w:val="1"/>
      <w:numFmt w:val="upperLetter"/>
      <w:lvlText w:val="%1)"/>
      <w:lvlJc w:val="left"/>
      <w:pPr>
        <w:ind w:left="786" w:hanging="360"/>
      </w:pPr>
      <w:rPr>
        <w:rFonts w:cs="Arial" w:hint="default"/>
        <w:i w:val="0"/>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4">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5D7C39BA"/>
    <w:multiLevelType w:val="hybridMultilevel"/>
    <w:tmpl w:val="EEC0F56A"/>
    <w:lvl w:ilvl="0" w:tplc="56B846FE">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3FE5643"/>
    <w:multiLevelType w:val="hybridMultilevel"/>
    <w:tmpl w:val="E82EDF20"/>
    <w:lvl w:ilvl="0" w:tplc="A0D0FC70">
      <w:start w:val="1"/>
      <w:numFmt w:val="upperLetter"/>
      <w:lvlText w:val="%1)"/>
      <w:lvlJc w:val="left"/>
      <w:pPr>
        <w:ind w:left="420" w:hanging="360"/>
      </w:pPr>
      <w:rPr>
        <w:rFonts w:cs="Arial" w:hint="default"/>
        <w:i w:val="0"/>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18">
    <w:nsid w:val="6504202F"/>
    <w:multiLevelType w:val="multilevel"/>
    <w:tmpl w:val="7E4EFDA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12"/>
  </w:num>
  <w:num w:numId="3">
    <w:abstractNumId w:val="18"/>
  </w:num>
  <w:num w:numId="4">
    <w:abstractNumId w:val="18"/>
  </w:num>
  <w:num w:numId="5">
    <w:abstractNumId w:val="1"/>
  </w:num>
  <w:num w:numId="6">
    <w:abstractNumId w:val="16"/>
  </w:num>
  <w:num w:numId="7">
    <w:abstractNumId w:val="11"/>
  </w:num>
  <w:num w:numId="8">
    <w:abstractNumId w:val="2"/>
  </w:num>
  <w:num w:numId="9">
    <w:abstractNumId w:val="10"/>
  </w:num>
  <w:num w:numId="10">
    <w:abstractNumId w:val="19"/>
  </w:num>
  <w:num w:numId="11">
    <w:abstractNumId w:val="20"/>
  </w:num>
  <w:num w:numId="12">
    <w:abstractNumId w:val="5"/>
  </w:num>
  <w:num w:numId="13">
    <w:abstractNumId w:val="14"/>
  </w:num>
  <w:num w:numId="14">
    <w:abstractNumId w:val="8"/>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4"/>
  </w:num>
  <w:num w:numId="19">
    <w:abstractNumId w:val="15"/>
  </w:num>
  <w:num w:numId="20">
    <w:abstractNumId w:val="13"/>
  </w:num>
  <w:num w:numId="21">
    <w:abstractNumId w:val="17"/>
  </w:num>
  <w:num w:numId="22">
    <w:abstractNumId w:val="0"/>
    <w:lvlOverride w:ilvl="0">
      <w:lvl w:ilvl="0" w:tplc="0405000F">
        <w:start w:val="1"/>
        <w:numFmt w:val="decimal"/>
        <w:lvlText w:val="%1."/>
        <w:lvlJc w:val="left"/>
        <w:pPr>
          <w:tabs>
            <w:tab w:val="num" w:pos="284"/>
          </w:tabs>
          <w:ind w:left="720" w:hanging="720"/>
        </w:pPr>
        <w:rPr>
          <w:rFonts w:ascii="Trebuchet MS" w:hAnsi="Trebuchet MS" w:hint="default"/>
          <w:b/>
          <w:i w:val="0"/>
        </w:rPr>
      </w:lvl>
    </w:lvlOverride>
    <w:lvlOverride w:ilvl="1">
      <w:lvl w:ilvl="1" w:tplc="04050019">
        <w:start w:val="1"/>
        <w:numFmt w:val="decimal"/>
        <w:lvlText w:val="%1.%2."/>
        <w:lvlJc w:val="left"/>
        <w:pPr>
          <w:tabs>
            <w:tab w:val="num" w:pos="720"/>
          </w:tabs>
          <w:ind w:left="720" w:hanging="720"/>
        </w:pPr>
        <w:rPr>
          <w:rFonts w:ascii="Times New Roman" w:hAnsi="Times New Roman" w:cs="Times New Roman" w:hint="default"/>
          <w:b w:val="0"/>
          <w:i w:val="0"/>
        </w:rPr>
      </w:lvl>
    </w:lvlOverride>
    <w:lvlOverride w:ilvl="2">
      <w:lvl w:ilvl="2" w:tplc="0405001B">
        <w:start w:val="1"/>
        <w:numFmt w:val="decimal"/>
        <w:lvlText w:val="%1.%2.%3."/>
        <w:lvlJc w:val="left"/>
        <w:pPr>
          <w:tabs>
            <w:tab w:val="num" w:pos="720"/>
          </w:tabs>
          <w:ind w:left="720" w:hanging="720"/>
        </w:pPr>
        <w:rPr>
          <w:rFonts w:ascii="Trebuchet MS" w:hAnsi="Trebuchet MS" w:hint="default"/>
          <w:b w:val="0"/>
          <w:i w:val="0"/>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23">
    <w:abstractNumId w:val="18"/>
  </w:num>
  <w:num w:numId="2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3075"/>
    <w:rsid w:val="00004BC2"/>
    <w:rsid w:val="00025B72"/>
    <w:rsid w:val="00027CA7"/>
    <w:rsid w:val="00041858"/>
    <w:rsid w:val="00051ADE"/>
    <w:rsid w:val="000535C0"/>
    <w:rsid w:val="00057EAF"/>
    <w:rsid w:val="00074602"/>
    <w:rsid w:val="000A0DAA"/>
    <w:rsid w:val="000A5034"/>
    <w:rsid w:val="000A7C8D"/>
    <w:rsid w:val="000B021F"/>
    <w:rsid w:val="000B51C7"/>
    <w:rsid w:val="000D19D8"/>
    <w:rsid w:val="000E621C"/>
    <w:rsid w:val="00111AD5"/>
    <w:rsid w:val="00115F9B"/>
    <w:rsid w:val="001200CB"/>
    <w:rsid w:val="00121EAF"/>
    <w:rsid w:val="00131923"/>
    <w:rsid w:val="00133126"/>
    <w:rsid w:val="001336D7"/>
    <w:rsid w:val="00150EB2"/>
    <w:rsid w:val="00152C4B"/>
    <w:rsid w:val="001635EA"/>
    <w:rsid w:val="001733C2"/>
    <w:rsid w:val="00181EC5"/>
    <w:rsid w:val="00184AAD"/>
    <w:rsid w:val="001B19E0"/>
    <w:rsid w:val="001B3660"/>
    <w:rsid w:val="001B4544"/>
    <w:rsid w:val="001B6EB5"/>
    <w:rsid w:val="001E050D"/>
    <w:rsid w:val="001F2DEC"/>
    <w:rsid w:val="001F2FC9"/>
    <w:rsid w:val="001F6428"/>
    <w:rsid w:val="00202A80"/>
    <w:rsid w:val="002118BC"/>
    <w:rsid w:val="00213874"/>
    <w:rsid w:val="00215599"/>
    <w:rsid w:val="00215D44"/>
    <w:rsid w:val="0021642E"/>
    <w:rsid w:val="00216B47"/>
    <w:rsid w:val="00217265"/>
    <w:rsid w:val="002173D0"/>
    <w:rsid w:val="00222495"/>
    <w:rsid w:val="0022370D"/>
    <w:rsid w:val="00225234"/>
    <w:rsid w:val="00236F19"/>
    <w:rsid w:val="0023700B"/>
    <w:rsid w:val="00245A3A"/>
    <w:rsid w:val="0025498C"/>
    <w:rsid w:val="002641A3"/>
    <w:rsid w:val="002755EA"/>
    <w:rsid w:val="00280398"/>
    <w:rsid w:val="00285C5B"/>
    <w:rsid w:val="002913A2"/>
    <w:rsid w:val="00296000"/>
    <w:rsid w:val="002A1690"/>
    <w:rsid w:val="002A1B22"/>
    <w:rsid w:val="002A1D2E"/>
    <w:rsid w:val="002A3959"/>
    <w:rsid w:val="002A6FD4"/>
    <w:rsid w:val="002C09C3"/>
    <w:rsid w:val="002C6BD8"/>
    <w:rsid w:val="002C7DBC"/>
    <w:rsid w:val="002D60AA"/>
    <w:rsid w:val="002E2DCB"/>
    <w:rsid w:val="002F1ADD"/>
    <w:rsid w:val="002F3760"/>
    <w:rsid w:val="003010A2"/>
    <w:rsid w:val="003063C8"/>
    <w:rsid w:val="00312015"/>
    <w:rsid w:val="00316B24"/>
    <w:rsid w:val="00316D5A"/>
    <w:rsid w:val="00325C3C"/>
    <w:rsid w:val="00345ADB"/>
    <w:rsid w:val="00353261"/>
    <w:rsid w:val="0035626F"/>
    <w:rsid w:val="003566BA"/>
    <w:rsid w:val="00361102"/>
    <w:rsid w:val="00363594"/>
    <w:rsid w:val="00364996"/>
    <w:rsid w:val="00372D03"/>
    <w:rsid w:val="0038141B"/>
    <w:rsid w:val="003838BA"/>
    <w:rsid w:val="00385AD7"/>
    <w:rsid w:val="003868B8"/>
    <w:rsid w:val="00390346"/>
    <w:rsid w:val="0039092C"/>
    <w:rsid w:val="00392EF6"/>
    <w:rsid w:val="00393345"/>
    <w:rsid w:val="00393734"/>
    <w:rsid w:val="003A6AD0"/>
    <w:rsid w:val="003A6C1E"/>
    <w:rsid w:val="003B54D3"/>
    <w:rsid w:val="003B57F4"/>
    <w:rsid w:val="003D0032"/>
    <w:rsid w:val="003D14B1"/>
    <w:rsid w:val="003E1F3E"/>
    <w:rsid w:val="003F095B"/>
    <w:rsid w:val="003F53C4"/>
    <w:rsid w:val="00405EF5"/>
    <w:rsid w:val="004131A1"/>
    <w:rsid w:val="00426D8D"/>
    <w:rsid w:val="00442127"/>
    <w:rsid w:val="00452526"/>
    <w:rsid w:val="004526A8"/>
    <w:rsid w:val="004644AC"/>
    <w:rsid w:val="0046620F"/>
    <w:rsid w:val="00486DFB"/>
    <w:rsid w:val="004A461E"/>
    <w:rsid w:val="004A6493"/>
    <w:rsid w:val="004B0A61"/>
    <w:rsid w:val="004B0D9C"/>
    <w:rsid w:val="004B38AE"/>
    <w:rsid w:val="004B3C1B"/>
    <w:rsid w:val="004C10C2"/>
    <w:rsid w:val="004D0659"/>
    <w:rsid w:val="004E1096"/>
    <w:rsid w:val="004E65D5"/>
    <w:rsid w:val="004F05DD"/>
    <w:rsid w:val="004F5000"/>
    <w:rsid w:val="005070BA"/>
    <w:rsid w:val="00510DF3"/>
    <w:rsid w:val="00512BEF"/>
    <w:rsid w:val="00521066"/>
    <w:rsid w:val="00523EEA"/>
    <w:rsid w:val="00533260"/>
    <w:rsid w:val="00540B71"/>
    <w:rsid w:val="0054562E"/>
    <w:rsid w:val="00546025"/>
    <w:rsid w:val="00551486"/>
    <w:rsid w:val="005614CA"/>
    <w:rsid w:val="00567909"/>
    <w:rsid w:val="00572209"/>
    <w:rsid w:val="00584106"/>
    <w:rsid w:val="00587564"/>
    <w:rsid w:val="005A39F1"/>
    <w:rsid w:val="005A62DE"/>
    <w:rsid w:val="005A703B"/>
    <w:rsid w:val="005B5D1E"/>
    <w:rsid w:val="005C24E8"/>
    <w:rsid w:val="005D5F45"/>
    <w:rsid w:val="005E5616"/>
    <w:rsid w:val="005E62B6"/>
    <w:rsid w:val="005F4953"/>
    <w:rsid w:val="005F54D6"/>
    <w:rsid w:val="005F5AC4"/>
    <w:rsid w:val="00603A25"/>
    <w:rsid w:val="00604E35"/>
    <w:rsid w:val="006062F6"/>
    <w:rsid w:val="00607F27"/>
    <w:rsid w:val="006156A0"/>
    <w:rsid w:val="006219A8"/>
    <w:rsid w:val="006262B7"/>
    <w:rsid w:val="00634D70"/>
    <w:rsid w:val="00635D66"/>
    <w:rsid w:val="006432D1"/>
    <w:rsid w:val="006432E6"/>
    <w:rsid w:val="006468BE"/>
    <w:rsid w:val="006545F4"/>
    <w:rsid w:val="00656D03"/>
    <w:rsid w:val="00663257"/>
    <w:rsid w:val="00666BC2"/>
    <w:rsid w:val="00683C02"/>
    <w:rsid w:val="00683FAA"/>
    <w:rsid w:val="00692AD2"/>
    <w:rsid w:val="006A394F"/>
    <w:rsid w:val="006A4C5B"/>
    <w:rsid w:val="006A5168"/>
    <w:rsid w:val="006A5454"/>
    <w:rsid w:val="006A67A0"/>
    <w:rsid w:val="006A7B32"/>
    <w:rsid w:val="006C584D"/>
    <w:rsid w:val="006D1FBF"/>
    <w:rsid w:val="006E29B4"/>
    <w:rsid w:val="006F3DC3"/>
    <w:rsid w:val="006F7350"/>
    <w:rsid w:val="007049E2"/>
    <w:rsid w:val="00726AD9"/>
    <w:rsid w:val="00726EFF"/>
    <w:rsid w:val="00726F25"/>
    <w:rsid w:val="00733C47"/>
    <w:rsid w:val="00740487"/>
    <w:rsid w:val="00744099"/>
    <w:rsid w:val="007504E0"/>
    <w:rsid w:val="00757D74"/>
    <w:rsid w:val="00761EA4"/>
    <w:rsid w:val="00762AEB"/>
    <w:rsid w:val="00767906"/>
    <w:rsid w:val="00771E99"/>
    <w:rsid w:val="00773E8D"/>
    <w:rsid w:val="007750F6"/>
    <w:rsid w:val="00776E6F"/>
    <w:rsid w:val="0077730D"/>
    <w:rsid w:val="00783A63"/>
    <w:rsid w:val="00785C89"/>
    <w:rsid w:val="00792966"/>
    <w:rsid w:val="00793CC7"/>
    <w:rsid w:val="00796DF6"/>
    <w:rsid w:val="007B159E"/>
    <w:rsid w:val="007B17A2"/>
    <w:rsid w:val="007B1C0B"/>
    <w:rsid w:val="007C7B6F"/>
    <w:rsid w:val="007D0363"/>
    <w:rsid w:val="007D6EC6"/>
    <w:rsid w:val="007E4568"/>
    <w:rsid w:val="007E57AB"/>
    <w:rsid w:val="007F0259"/>
    <w:rsid w:val="007F5B30"/>
    <w:rsid w:val="00804FDF"/>
    <w:rsid w:val="0082064F"/>
    <w:rsid w:val="0084001B"/>
    <w:rsid w:val="0084776F"/>
    <w:rsid w:val="00865DE0"/>
    <w:rsid w:val="00875408"/>
    <w:rsid w:val="00885C1B"/>
    <w:rsid w:val="00886378"/>
    <w:rsid w:val="00886CE6"/>
    <w:rsid w:val="00891187"/>
    <w:rsid w:val="008937A9"/>
    <w:rsid w:val="008B2288"/>
    <w:rsid w:val="008B6C02"/>
    <w:rsid w:val="008C7968"/>
    <w:rsid w:val="0091080C"/>
    <w:rsid w:val="00912F78"/>
    <w:rsid w:val="00916D33"/>
    <w:rsid w:val="00920DCC"/>
    <w:rsid w:val="0092603E"/>
    <w:rsid w:val="0094074D"/>
    <w:rsid w:val="00941CF1"/>
    <w:rsid w:val="00967D14"/>
    <w:rsid w:val="0097190D"/>
    <w:rsid w:val="00984EC2"/>
    <w:rsid w:val="00985512"/>
    <w:rsid w:val="00990D92"/>
    <w:rsid w:val="009B5EE3"/>
    <w:rsid w:val="009C6417"/>
    <w:rsid w:val="009D018B"/>
    <w:rsid w:val="009D153C"/>
    <w:rsid w:val="009E73B7"/>
    <w:rsid w:val="009F1CCD"/>
    <w:rsid w:val="009F3994"/>
    <w:rsid w:val="009F5316"/>
    <w:rsid w:val="009F6EE3"/>
    <w:rsid w:val="00A05C87"/>
    <w:rsid w:val="00A071AB"/>
    <w:rsid w:val="00A3785C"/>
    <w:rsid w:val="00A472DA"/>
    <w:rsid w:val="00A66838"/>
    <w:rsid w:val="00A6737F"/>
    <w:rsid w:val="00A80125"/>
    <w:rsid w:val="00A90366"/>
    <w:rsid w:val="00A97862"/>
    <w:rsid w:val="00AA7259"/>
    <w:rsid w:val="00AA7671"/>
    <w:rsid w:val="00AC022F"/>
    <w:rsid w:val="00AC4B33"/>
    <w:rsid w:val="00AD0BEE"/>
    <w:rsid w:val="00AD1383"/>
    <w:rsid w:val="00AD28CC"/>
    <w:rsid w:val="00AD3AE4"/>
    <w:rsid w:val="00AE0B3D"/>
    <w:rsid w:val="00AF2373"/>
    <w:rsid w:val="00AF26B7"/>
    <w:rsid w:val="00AF43C2"/>
    <w:rsid w:val="00AF4A0A"/>
    <w:rsid w:val="00AF5BA7"/>
    <w:rsid w:val="00AF6E96"/>
    <w:rsid w:val="00B04422"/>
    <w:rsid w:val="00B121EC"/>
    <w:rsid w:val="00B14991"/>
    <w:rsid w:val="00B154D9"/>
    <w:rsid w:val="00B26BFF"/>
    <w:rsid w:val="00B26E60"/>
    <w:rsid w:val="00B31DE8"/>
    <w:rsid w:val="00B330CC"/>
    <w:rsid w:val="00B36136"/>
    <w:rsid w:val="00B36CAE"/>
    <w:rsid w:val="00B4170C"/>
    <w:rsid w:val="00B47316"/>
    <w:rsid w:val="00B61332"/>
    <w:rsid w:val="00B616B0"/>
    <w:rsid w:val="00B642B8"/>
    <w:rsid w:val="00B6737B"/>
    <w:rsid w:val="00B71D00"/>
    <w:rsid w:val="00B75617"/>
    <w:rsid w:val="00B77B5A"/>
    <w:rsid w:val="00B83144"/>
    <w:rsid w:val="00B92771"/>
    <w:rsid w:val="00BA5FFD"/>
    <w:rsid w:val="00BD110A"/>
    <w:rsid w:val="00BD6A13"/>
    <w:rsid w:val="00BD6B30"/>
    <w:rsid w:val="00BD7A3E"/>
    <w:rsid w:val="00BE7B07"/>
    <w:rsid w:val="00C0158D"/>
    <w:rsid w:val="00C03FB5"/>
    <w:rsid w:val="00C160BB"/>
    <w:rsid w:val="00C20DBF"/>
    <w:rsid w:val="00C21681"/>
    <w:rsid w:val="00C223A3"/>
    <w:rsid w:val="00C22EF8"/>
    <w:rsid w:val="00C23F31"/>
    <w:rsid w:val="00C2501B"/>
    <w:rsid w:val="00C30D89"/>
    <w:rsid w:val="00C33F89"/>
    <w:rsid w:val="00C518B9"/>
    <w:rsid w:val="00C5495B"/>
    <w:rsid w:val="00C6670B"/>
    <w:rsid w:val="00C71C0B"/>
    <w:rsid w:val="00C77F80"/>
    <w:rsid w:val="00C82996"/>
    <w:rsid w:val="00C87C98"/>
    <w:rsid w:val="00C93A2F"/>
    <w:rsid w:val="00C95342"/>
    <w:rsid w:val="00CA1D1C"/>
    <w:rsid w:val="00CB031D"/>
    <w:rsid w:val="00CB06DD"/>
    <w:rsid w:val="00CB1868"/>
    <w:rsid w:val="00CB51C7"/>
    <w:rsid w:val="00CB737B"/>
    <w:rsid w:val="00CC2062"/>
    <w:rsid w:val="00CC362D"/>
    <w:rsid w:val="00CE0D4E"/>
    <w:rsid w:val="00CE1BAE"/>
    <w:rsid w:val="00CE6A5C"/>
    <w:rsid w:val="00CF45F3"/>
    <w:rsid w:val="00D062A9"/>
    <w:rsid w:val="00D067DB"/>
    <w:rsid w:val="00D133D4"/>
    <w:rsid w:val="00D1781E"/>
    <w:rsid w:val="00D17C01"/>
    <w:rsid w:val="00D22602"/>
    <w:rsid w:val="00D22E6F"/>
    <w:rsid w:val="00D2433E"/>
    <w:rsid w:val="00D2496C"/>
    <w:rsid w:val="00D3516F"/>
    <w:rsid w:val="00D36C90"/>
    <w:rsid w:val="00D414FF"/>
    <w:rsid w:val="00D47D6A"/>
    <w:rsid w:val="00D619B8"/>
    <w:rsid w:val="00D6713A"/>
    <w:rsid w:val="00D7050E"/>
    <w:rsid w:val="00D759F0"/>
    <w:rsid w:val="00D7799F"/>
    <w:rsid w:val="00D81A28"/>
    <w:rsid w:val="00D92C46"/>
    <w:rsid w:val="00D94038"/>
    <w:rsid w:val="00D968B2"/>
    <w:rsid w:val="00D97172"/>
    <w:rsid w:val="00D97855"/>
    <w:rsid w:val="00DA13A0"/>
    <w:rsid w:val="00DA19FE"/>
    <w:rsid w:val="00DA7295"/>
    <w:rsid w:val="00DB087D"/>
    <w:rsid w:val="00DB33D1"/>
    <w:rsid w:val="00DB3A28"/>
    <w:rsid w:val="00DB58EE"/>
    <w:rsid w:val="00DC0D1F"/>
    <w:rsid w:val="00DC4834"/>
    <w:rsid w:val="00DC4ECC"/>
    <w:rsid w:val="00DC63ED"/>
    <w:rsid w:val="00DD0920"/>
    <w:rsid w:val="00DD2CE8"/>
    <w:rsid w:val="00DE6D95"/>
    <w:rsid w:val="00DE7F5C"/>
    <w:rsid w:val="00DF1558"/>
    <w:rsid w:val="00DF33E5"/>
    <w:rsid w:val="00E111B7"/>
    <w:rsid w:val="00E11514"/>
    <w:rsid w:val="00E15282"/>
    <w:rsid w:val="00E1672C"/>
    <w:rsid w:val="00E22E4F"/>
    <w:rsid w:val="00E36F17"/>
    <w:rsid w:val="00E431EC"/>
    <w:rsid w:val="00E463E4"/>
    <w:rsid w:val="00E53B7C"/>
    <w:rsid w:val="00E577BA"/>
    <w:rsid w:val="00E7478F"/>
    <w:rsid w:val="00E76CBF"/>
    <w:rsid w:val="00E84829"/>
    <w:rsid w:val="00E852B7"/>
    <w:rsid w:val="00EA19F2"/>
    <w:rsid w:val="00EA759F"/>
    <w:rsid w:val="00EB108E"/>
    <w:rsid w:val="00EE5F45"/>
    <w:rsid w:val="00F02080"/>
    <w:rsid w:val="00F029A5"/>
    <w:rsid w:val="00F0728B"/>
    <w:rsid w:val="00F12086"/>
    <w:rsid w:val="00F25D14"/>
    <w:rsid w:val="00F36097"/>
    <w:rsid w:val="00F45337"/>
    <w:rsid w:val="00F453E5"/>
    <w:rsid w:val="00F525E4"/>
    <w:rsid w:val="00F56244"/>
    <w:rsid w:val="00F579A2"/>
    <w:rsid w:val="00F71987"/>
    <w:rsid w:val="00F85341"/>
    <w:rsid w:val="00F8799C"/>
    <w:rsid w:val="00F92569"/>
    <w:rsid w:val="00F94C8C"/>
    <w:rsid w:val="00F94F3D"/>
    <w:rsid w:val="00FB012E"/>
    <w:rsid w:val="00FB0F06"/>
    <w:rsid w:val="00FB3061"/>
    <w:rsid w:val="00FC103F"/>
    <w:rsid w:val="00FD07F0"/>
    <w:rsid w:val="00FE08FB"/>
    <w:rsid w:val="00FE3076"/>
    <w:rsid w:val="00FF3D1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 w:type="paragraph" w:customStyle="1" w:styleId="Hlavnnadpis">
    <w:name w:val="Hlavní nadpis"/>
    <w:basedOn w:val="Obsah1"/>
    <w:rsid w:val="00152C4B"/>
    <w:pPr>
      <w:spacing w:before="0" w:after="0"/>
      <w:jc w:val="center"/>
    </w:pPr>
    <w:rPr>
      <w:b/>
      <w:bCs/>
      <w:sz w:val="36"/>
    </w:rPr>
  </w:style>
  <w:style w:type="paragraph" w:styleId="Obsah1">
    <w:name w:val="toc 1"/>
    <w:basedOn w:val="Normln"/>
    <w:next w:val="Normln"/>
    <w:autoRedefine/>
    <w:uiPriority w:val="39"/>
    <w:semiHidden/>
    <w:unhideWhenUsed/>
    <w:rsid w:val="00152C4B"/>
    <w:pPr>
      <w:spacing w:after="100"/>
    </w:pPr>
  </w:style>
  <w:style w:type="character" w:styleId="Sledovanodkaz">
    <w:name w:val="FollowedHyperlink"/>
    <w:basedOn w:val="Standardnpsmoodstavce"/>
    <w:uiPriority w:val="99"/>
    <w:semiHidden/>
    <w:unhideWhenUsed/>
    <w:rsid w:val="002C6BD8"/>
    <w:rPr>
      <w:color w:val="800080" w:themeColor="followedHyperlink"/>
      <w:u w:val="single"/>
    </w:rPr>
  </w:style>
  <w:style w:type="paragraph" w:styleId="Zkladntextodsazen2">
    <w:name w:val="Body Text Indent 2"/>
    <w:basedOn w:val="Normln"/>
    <w:link w:val="Zkladntextodsazen2Char"/>
    <w:rsid w:val="00607F27"/>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rsid w:val="00607F27"/>
    <w:rPr>
      <w:sz w:val="18"/>
      <w:lang w:val="sk-SK"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iPriority w:val="99"/>
    <w:semiHidden/>
    <w:unhideWhenUsed/>
    <w:rsid w:val="00C160BB"/>
  </w:style>
  <w:style w:type="character" w:customStyle="1" w:styleId="TextkomenteChar">
    <w:name w:val="Text komentáře Char"/>
    <w:basedOn w:val="Standardnpsmoodstavce"/>
    <w:link w:val="Textkomente"/>
    <w:uiPriority w:val="99"/>
    <w:semiHidden/>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styleId="Revize">
    <w:name w:val="Revision"/>
    <w:hidden/>
    <w:uiPriority w:val="99"/>
    <w:semiHidden/>
    <w:rsid w:val="0082064F"/>
  </w:style>
  <w:style w:type="paragraph" w:styleId="Prosttext">
    <w:name w:val="Plain Text"/>
    <w:basedOn w:val="Normln"/>
    <w:link w:val="ProsttextChar"/>
    <w:rsid w:val="00AD3AE4"/>
    <w:pPr>
      <w:spacing w:before="0"/>
      <w:jc w:val="left"/>
    </w:pPr>
    <w:rPr>
      <w:rFonts w:ascii="Courier New" w:hAnsi="Courier New"/>
    </w:rPr>
  </w:style>
  <w:style w:type="character" w:customStyle="1" w:styleId="ProsttextChar">
    <w:name w:val="Prostý text Char"/>
    <w:basedOn w:val="Standardnpsmoodstavce"/>
    <w:link w:val="Prosttext"/>
    <w:rsid w:val="00AD3AE4"/>
    <w:rPr>
      <w:rFonts w:ascii="Courier New" w:hAnsi="Courier New"/>
    </w:rPr>
  </w:style>
  <w:style w:type="paragraph" w:customStyle="1" w:styleId="Hlavnnadpis">
    <w:name w:val="Hlavní nadpis"/>
    <w:basedOn w:val="Obsah1"/>
    <w:rsid w:val="00152C4B"/>
    <w:pPr>
      <w:spacing w:before="0" w:after="0"/>
      <w:jc w:val="center"/>
    </w:pPr>
    <w:rPr>
      <w:b/>
      <w:bCs/>
      <w:sz w:val="36"/>
    </w:rPr>
  </w:style>
  <w:style w:type="paragraph" w:styleId="Obsah1">
    <w:name w:val="toc 1"/>
    <w:basedOn w:val="Normln"/>
    <w:next w:val="Normln"/>
    <w:autoRedefine/>
    <w:uiPriority w:val="39"/>
    <w:semiHidden/>
    <w:unhideWhenUsed/>
    <w:rsid w:val="00152C4B"/>
    <w:pPr>
      <w:spacing w:after="100"/>
    </w:pPr>
  </w:style>
  <w:style w:type="character" w:styleId="Sledovanodkaz">
    <w:name w:val="FollowedHyperlink"/>
    <w:basedOn w:val="Standardnpsmoodstavce"/>
    <w:uiPriority w:val="99"/>
    <w:semiHidden/>
    <w:unhideWhenUsed/>
    <w:rsid w:val="002C6BD8"/>
    <w:rPr>
      <w:color w:val="800080" w:themeColor="followedHyperlink"/>
      <w:u w:val="single"/>
    </w:rPr>
  </w:style>
  <w:style w:type="paragraph" w:styleId="Zkladntextodsazen2">
    <w:name w:val="Body Text Indent 2"/>
    <w:basedOn w:val="Normln"/>
    <w:link w:val="Zkladntextodsazen2Char"/>
    <w:rsid w:val="00607F27"/>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rsid w:val="00607F27"/>
    <w:rPr>
      <w:sz w:val="18"/>
      <w:lang w:val="sk-SK"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eproas.cz/vop-objednavk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www.softender.cz/home/profil/992824"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D9AF42-85EA-417F-9464-F8544A61E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1955</Words>
  <Characters>11539</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103</cp:revision>
  <cp:lastPrinted>2013-05-20T06:12:00Z</cp:lastPrinted>
  <dcterms:created xsi:type="dcterms:W3CDTF">2013-04-19T10:48:00Z</dcterms:created>
  <dcterms:modified xsi:type="dcterms:W3CDTF">2016-02-09T09:08:00Z</dcterms:modified>
</cp:coreProperties>
</file>